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紧缺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pacing w:val="-18"/>
          <w:sz w:val="24"/>
        </w:rPr>
        <w:t>报考职位代码及专业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858"/>
        <w:gridCol w:w="544"/>
        <w:gridCol w:w="637"/>
        <w:gridCol w:w="538"/>
        <w:gridCol w:w="179"/>
        <w:gridCol w:w="135"/>
        <w:gridCol w:w="762"/>
        <w:gridCol w:w="1374"/>
        <w:gridCol w:w="766"/>
        <w:gridCol w:w="666"/>
        <w:gridCol w:w="64"/>
        <w:gridCol w:w="1487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12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cantSplit/>
          <w:trHeight w:val="1813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12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12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911BE"/>
    <w:rsid w:val="1A9911BE"/>
    <w:rsid w:val="579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2020-12-18T08:16:00Z</dcterms:created>
  <dc:creator>WPS_1562384824</dc:creator>
  <cp:lastModifiedBy>WPS_1562384824</cp:lastModifiedBy>
  <dcterms:modified xsi:type="dcterms:W3CDTF">2020-12-18T08:18:46Z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