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第三批公开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聘用人员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48"/>
        <w:gridCol w:w="672"/>
        <w:gridCol w:w="756"/>
        <w:gridCol w:w="852"/>
        <w:gridCol w:w="1440"/>
        <w:gridCol w:w="900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B01院感中医师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B02医保办干事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取得执业医师资格证和住院医师规范化培训合格证优先。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B03医务科干事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卫生事业管理、应急管理、行政管理学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B04医务科干事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B05党委办公室干事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B06院长办公室干事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B07院长办公室干事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数字媒体艺术（多媒体设计与制作）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B08会计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B09康复技师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（推拿方向）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康复治疗技术或针灸推拿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取得相关资格证书优先。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B10放射技师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取得相关资格证书优先。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52DA8"/>
    <w:rsid w:val="4D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542</Characters>
  <Lines>0</Lines>
  <Paragraphs>0</Paragraphs>
  <TotalTime>2</TotalTime>
  <ScaleCrop>false</ScaleCrop>
  <LinksUpToDate>false</LinksUpToDate>
  <CharactersWithSpaces>542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2022-04-22T11:20:00Z</dcterms:created>
  <dc:creator>Administrator</dc:creator>
  <cp:lastModifiedBy>锦雯</cp:lastModifiedBy>
  <dcterms:modified xsi:type="dcterms:W3CDTF">2022-04-22T11:36:07Z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eyJoZGlkIjoiMTI2NjgwYmViZGZlMDYxODU1NWMzZTU0MjhkNmYwNmIifQ==</vt:lpwstr>
  </property>
  <property fmtid="{D5CDD505-2E9C-101B-9397-08002B2CF9AE}" pid="4" name="ICV">
    <vt:lpwstr>F58F355FEFEC471B939E443053CD55C2</vt:lpwstr>
  </property>
</Properties>
</file>