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39DA">
      <w:pPr>
        <w:pStyle w:val="2"/>
        <w:keepNext w:val="0"/>
        <w:keepLines w:val="0"/>
        <w:widowControl/>
        <w:suppressLineNumbers w:val="0"/>
        <w:shd w:val="clear" w:fill="FFFFFF"/>
        <w:spacing w:before="0" w:beforeAutospacing="0" w:line="23" w:lineRule="atLeast"/>
        <w:ind w:left="0" w:firstLine="0"/>
        <w:jc w:val="center"/>
        <w:rPr>
          <w:rFonts w:ascii="Segoe UI" w:hAnsi="Segoe UI" w:eastAsia="Segoe UI" w:cs="Segoe UI"/>
          <w:i w:val="0"/>
          <w:iCs w:val="0"/>
          <w:caps w:val="0"/>
          <w:color w:val="404040"/>
          <w:spacing w:val="0"/>
        </w:rPr>
      </w:pPr>
      <w:r>
        <w:rPr>
          <w:rFonts w:hint="eastAsia" w:ascii="Segoe UI" w:hAnsi="Segoe UI" w:eastAsia="Segoe UI" w:cs="Segoe UI"/>
          <w:i w:val="0"/>
          <w:iCs w:val="0"/>
          <w:caps w:val="0"/>
          <w:color w:val="404040"/>
          <w:spacing w:val="0"/>
          <w:shd w:val="clear" w:fill="FFFFFF"/>
          <w:lang w:val="en-US" w:eastAsia="zh-CN"/>
        </w:rPr>
        <w:t>院前急救及专科中心系统</w:t>
      </w:r>
      <w:r>
        <w:rPr>
          <w:rFonts w:hint="default" w:ascii="Segoe UI" w:hAnsi="Segoe UI" w:eastAsia="Segoe UI" w:cs="Segoe UI"/>
          <w:i w:val="0"/>
          <w:iCs w:val="0"/>
          <w:caps w:val="0"/>
          <w:color w:val="404040"/>
          <w:spacing w:val="0"/>
          <w:shd w:val="clear" w:fill="FFFFFF"/>
        </w:rPr>
        <w:t>功能需求</w:t>
      </w:r>
    </w:p>
    <w:p w14:paraId="379EA7F4">
      <w:pPr>
        <w:pStyle w:val="3"/>
        <w:keepNext w:val="0"/>
        <w:keepLines w:val="0"/>
        <w:widowControl/>
        <w:numPr>
          <w:ilvl w:val="0"/>
          <w:numId w:val="1"/>
        </w:numPr>
        <w:suppressLineNumbers w:val="0"/>
        <w:shd w:val="clear" w:fill="FFFFFF"/>
        <w:spacing w:line="23" w:lineRule="atLeast"/>
        <w:ind w:left="0" w:firstLine="0"/>
        <w:rPr>
          <w:rFonts w:hint="default" w:ascii="Segoe UI" w:hAnsi="Segoe UI" w:eastAsia="Segoe UI" w:cs="Segoe UI"/>
          <w:i w:val="0"/>
          <w:iCs w:val="0"/>
          <w:caps w:val="0"/>
          <w:color w:val="404040"/>
          <w:spacing w:val="0"/>
          <w:shd w:val="clear" w:fill="FFFFFF"/>
        </w:rPr>
      </w:pPr>
      <w:r>
        <w:rPr>
          <w:rFonts w:hint="default" w:ascii="Segoe UI" w:hAnsi="Segoe UI" w:eastAsia="Segoe UI" w:cs="Segoe UI"/>
          <w:i w:val="0"/>
          <w:iCs w:val="0"/>
          <w:caps w:val="0"/>
          <w:color w:val="404040"/>
          <w:spacing w:val="0"/>
          <w:shd w:val="clear" w:fill="FFFFFF"/>
        </w:rPr>
        <w:t>院前急救平台功能</w:t>
      </w:r>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477"/>
        <w:gridCol w:w="7371"/>
      </w:tblGrid>
      <w:tr w14:paraId="412B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6C2749B1">
            <w:pPr>
              <w:jc w:val="center"/>
              <w:rPr>
                <w:rFonts w:ascii="仿宋" w:hAnsi="仿宋" w:eastAsia="仿宋" w:cs="Times New Roman"/>
                <w:b/>
                <w:kern w:val="0"/>
                <w:sz w:val="21"/>
                <w:szCs w:val="21"/>
              </w:rPr>
            </w:pPr>
            <w:r>
              <w:rPr>
                <w:rFonts w:hint="eastAsia" w:ascii="仿宋" w:hAnsi="仿宋" w:eastAsia="仿宋" w:cs="Times New Roman"/>
                <w:b/>
                <w:kern w:val="0"/>
                <w:sz w:val="21"/>
                <w:szCs w:val="21"/>
              </w:rPr>
              <w:t>功能模块</w:t>
            </w:r>
          </w:p>
        </w:tc>
        <w:tc>
          <w:tcPr>
            <w:tcW w:w="1477" w:type="dxa"/>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3864A26E">
            <w:pPr>
              <w:jc w:val="center"/>
              <w:rPr>
                <w:rFonts w:ascii="仿宋" w:hAnsi="仿宋" w:eastAsia="仿宋" w:cs="Times New Roman"/>
                <w:b/>
                <w:kern w:val="0"/>
                <w:sz w:val="21"/>
                <w:szCs w:val="21"/>
              </w:rPr>
            </w:pPr>
            <w:r>
              <w:rPr>
                <w:rFonts w:hint="eastAsia" w:ascii="仿宋" w:hAnsi="仿宋" w:eastAsia="仿宋" w:cs="Times New Roman"/>
                <w:b/>
                <w:kern w:val="0"/>
                <w:sz w:val="21"/>
                <w:szCs w:val="21"/>
              </w:rPr>
              <w:t>功能分项</w:t>
            </w:r>
          </w:p>
        </w:tc>
        <w:tc>
          <w:tcPr>
            <w:tcW w:w="7371" w:type="dxa"/>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301CACB4">
            <w:pPr>
              <w:jc w:val="center"/>
              <w:rPr>
                <w:rFonts w:ascii="仿宋" w:hAnsi="仿宋" w:eastAsia="仿宋" w:cs="Times New Roman"/>
                <w:b/>
                <w:kern w:val="0"/>
                <w:sz w:val="21"/>
                <w:szCs w:val="21"/>
              </w:rPr>
            </w:pPr>
            <w:r>
              <w:rPr>
                <w:rFonts w:hint="eastAsia" w:ascii="仿宋" w:hAnsi="仿宋" w:eastAsia="仿宋" w:cs="Times New Roman"/>
                <w:b/>
                <w:kern w:val="0"/>
                <w:sz w:val="21"/>
                <w:szCs w:val="21"/>
              </w:rPr>
              <w:t>功能描述</w:t>
            </w:r>
          </w:p>
        </w:tc>
      </w:tr>
      <w:tr w14:paraId="74E9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restart"/>
            <w:tcBorders>
              <w:top w:val="single" w:color="auto" w:sz="4" w:space="0"/>
              <w:left w:val="single" w:color="auto" w:sz="4" w:space="0"/>
              <w:bottom w:val="single" w:color="auto" w:sz="4" w:space="0"/>
              <w:right w:val="single" w:color="auto" w:sz="4" w:space="0"/>
            </w:tcBorders>
            <w:vAlign w:val="center"/>
          </w:tcPr>
          <w:p w14:paraId="03BC7E76">
            <w:pPr>
              <w:rPr>
                <w:rFonts w:ascii="仿宋" w:hAnsi="仿宋" w:eastAsia="仿宋" w:cs="Times New Roman"/>
                <w:kern w:val="0"/>
                <w:sz w:val="21"/>
                <w:szCs w:val="21"/>
              </w:rPr>
            </w:pPr>
            <w:r>
              <w:rPr>
                <w:rFonts w:hint="eastAsia" w:ascii="仿宋" w:hAnsi="仿宋" w:eastAsia="仿宋" w:cs="Times New Roman"/>
                <w:kern w:val="0"/>
                <w:sz w:val="21"/>
                <w:szCs w:val="21"/>
              </w:rPr>
              <w:t>院前急救APP</w:t>
            </w:r>
          </w:p>
        </w:tc>
        <w:tc>
          <w:tcPr>
            <w:tcW w:w="1477" w:type="dxa"/>
            <w:tcBorders>
              <w:top w:val="single" w:color="auto" w:sz="4" w:space="0"/>
              <w:left w:val="single" w:color="auto" w:sz="4" w:space="0"/>
              <w:bottom w:val="single" w:color="auto" w:sz="4" w:space="0"/>
              <w:right w:val="single" w:color="auto" w:sz="4" w:space="0"/>
            </w:tcBorders>
            <w:vAlign w:val="center"/>
          </w:tcPr>
          <w:p w14:paraId="1DA94856">
            <w:pPr>
              <w:rPr>
                <w:rFonts w:ascii="仿宋" w:hAnsi="仿宋" w:eastAsia="仿宋" w:cs="Times New Roman"/>
                <w:kern w:val="0"/>
                <w:sz w:val="21"/>
                <w:szCs w:val="21"/>
              </w:rPr>
            </w:pPr>
            <w:r>
              <w:rPr>
                <w:rFonts w:hint="eastAsia" w:ascii="仿宋" w:hAnsi="仿宋" w:eastAsia="仿宋" w:cs="Times New Roman"/>
                <w:kern w:val="0"/>
                <w:sz w:val="21"/>
                <w:szCs w:val="21"/>
              </w:rPr>
              <w:t>调度信息</w:t>
            </w:r>
          </w:p>
        </w:tc>
        <w:tc>
          <w:tcPr>
            <w:tcW w:w="7371" w:type="dxa"/>
            <w:tcBorders>
              <w:top w:val="single" w:color="auto" w:sz="4" w:space="0"/>
              <w:left w:val="single" w:color="auto" w:sz="4" w:space="0"/>
              <w:bottom w:val="single" w:color="auto" w:sz="4" w:space="0"/>
              <w:right w:val="single" w:color="auto" w:sz="4" w:space="0"/>
            </w:tcBorders>
            <w:vAlign w:val="center"/>
          </w:tcPr>
          <w:p w14:paraId="4532B7E8">
            <w:pPr>
              <w:rPr>
                <w:rFonts w:ascii="仿宋" w:hAnsi="仿宋" w:eastAsia="仿宋" w:cs="Times New Roman"/>
                <w:kern w:val="0"/>
                <w:sz w:val="21"/>
                <w:szCs w:val="21"/>
              </w:rPr>
            </w:pPr>
            <w:r>
              <w:rPr>
                <w:rFonts w:hint="eastAsia" w:ascii="仿宋" w:hAnsi="仿宋" w:eastAsia="仿宋" w:cs="Times New Roman"/>
                <w:kern w:val="0"/>
                <w:sz w:val="21"/>
                <w:szCs w:val="21"/>
              </w:rPr>
              <w:t>可查阅120急救中心或医院发送的调度信息;</w:t>
            </w:r>
          </w:p>
        </w:tc>
      </w:tr>
      <w:tr w14:paraId="1D2B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34A7166A">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20E5F9B8">
            <w:pPr>
              <w:rPr>
                <w:rFonts w:ascii="仿宋" w:hAnsi="仿宋" w:eastAsia="仿宋" w:cs="Times New Roman"/>
                <w:kern w:val="0"/>
                <w:sz w:val="21"/>
                <w:szCs w:val="21"/>
              </w:rPr>
            </w:pPr>
            <w:r>
              <w:rPr>
                <w:rFonts w:hint="eastAsia" w:ascii="仿宋" w:hAnsi="仿宋" w:eastAsia="仿宋" w:cs="Times New Roman"/>
                <w:kern w:val="0"/>
                <w:sz w:val="21"/>
                <w:szCs w:val="21"/>
              </w:rPr>
              <w:t>主诉及病史</w:t>
            </w:r>
          </w:p>
        </w:tc>
        <w:tc>
          <w:tcPr>
            <w:tcW w:w="7371" w:type="dxa"/>
            <w:tcBorders>
              <w:top w:val="single" w:color="auto" w:sz="4" w:space="0"/>
              <w:left w:val="single" w:color="auto" w:sz="4" w:space="0"/>
              <w:bottom w:val="single" w:color="auto" w:sz="4" w:space="0"/>
              <w:right w:val="single" w:color="auto" w:sz="4" w:space="0"/>
            </w:tcBorders>
            <w:vAlign w:val="center"/>
          </w:tcPr>
          <w:p w14:paraId="05CB3ED9">
            <w:pPr>
              <w:rPr>
                <w:rFonts w:ascii="仿宋" w:hAnsi="仿宋" w:eastAsia="仿宋" w:cs="Times New Roman"/>
                <w:kern w:val="0"/>
                <w:sz w:val="21"/>
                <w:szCs w:val="21"/>
              </w:rPr>
            </w:pPr>
            <w:r>
              <w:rPr>
                <w:rFonts w:hint="eastAsia" w:ascii="仿宋" w:hAnsi="仿宋" w:eastAsia="仿宋" w:cs="Times New Roman"/>
                <w:kern w:val="0"/>
                <w:sz w:val="21"/>
                <w:szCs w:val="21"/>
              </w:rPr>
              <w:t>记录患者的主诉及相关病史信息，并填写对应的患者病情情况；</w:t>
            </w:r>
          </w:p>
        </w:tc>
      </w:tr>
      <w:tr w14:paraId="09E6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212511E1">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A1FF072">
            <w:pPr>
              <w:rPr>
                <w:rFonts w:ascii="仿宋" w:hAnsi="仿宋" w:eastAsia="仿宋" w:cs="Times New Roman"/>
                <w:kern w:val="0"/>
                <w:sz w:val="21"/>
                <w:szCs w:val="21"/>
              </w:rPr>
            </w:pPr>
            <w:r>
              <w:rPr>
                <w:rFonts w:hint="eastAsia" w:ascii="仿宋" w:hAnsi="仿宋" w:eastAsia="仿宋" w:cs="Times New Roman"/>
                <w:kern w:val="0"/>
                <w:sz w:val="21"/>
                <w:szCs w:val="21"/>
              </w:rPr>
              <w:t>医学评分</w:t>
            </w:r>
          </w:p>
        </w:tc>
        <w:tc>
          <w:tcPr>
            <w:tcW w:w="7371" w:type="dxa"/>
            <w:tcBorders>
              <w:top w:val="single" w:color="auto" w:sz="4" w:space="0"/>
              <w:left w:val="single" w:color="auto" w:sz="4" w:space="0"/>
              <w:bottom w:val="single" w:color="auto" w:sz="4" w:space="0"/>
              <w:right w:val="single" w:color="auto" w:sz="4" w:space="0"/>
            </w:tcBorders>
            <w:vAlign w:val="center"/>
          </w:tcPr>
          <w:p w14:paraId="703D52BF">
            <w:pPr>
              <w:rPr>
                <w:rFonts w:ascii="仿宋" w:hAnsi="仿宋" w:eastAsia="仿宋" w:cs="Times New Roman"/>
                <w:kern w:val="0"/>
                <w:sz w:val="21"/>
                <w:szCs w:val="21"/>
              </w:rPr>
            </w:pPr>
            <w:r>
              <w:rPr>
                <w:rFonts w:hint="eastAsia" w:ascii="仿宋" w:hAnsi="仿宋" w:eastAsia="仿宋" w:cs="Times New Roman"/>
                <w:kern w:val="0"/>
                <w:sz w:val="21"/>
                <w:szCs w:val="21"/>
              </w:rPr>
              <w:t>支持多种自动医学评分如PHI、GCS等，支持通过系统采集的生命体征数据等自动计算分值；</w:t>
            </w:r>
          </w:p>
        </w:tc>
      </w:tr>
      <w:tr w14:paraId="3210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4465EA1C">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211AB5DA">
            <w:pPr>
              <w:rPr>
                <w:rFonts w:ascii="仿宋" w:hAnsi="仿宋" w:eastAsia="仿宋" w:cs="Times New Roman"/>
                <w:kern w:val="0"/>
                <w:sz w:val="21"/>
                <w:szCs w:val="21"/>
              </w:rPr>
            </w:pPr>
            <w:r>
              <w:rPr>
                <w:rFonts w:hint="eastAsia" w:ascii="仿宋" w:hAnsi="仿宋" w:eastAsia="仿宋" w:cs="Times New Roman"/>
                <w:kern w:val="0"/>
                <w:sz w:val="21"/>
                <w:szCs w:val="21"/>
              </w:rPr>
              <w:t>体格检查</w:t>
            </w:r>
          </w:p>
        </w:tc>
        <w:tc>
          <w:tcPr>
            <w:tcW w:w="7371" w:type="dxa"/>
            <w:tcBorders>
              <w:top w:val="single" w:color="auto" w:sz="4" w:space="0"/>
              <w:left w:val="single" w:color="auto" w:sz="4" w:space="0"/>
              <w:bottom w:val="single" w:color="auto" w:sz="4" w:space="0"/>
              <w:right w:val="single" w:color="auto" w:sz="4" w:space="0"/>
            </w:tcBorders>
            <w:vAlign w:val="center"/>
          </w:tcPr>
          <w:p w14:paraId="0F7DC7AB">
            <w:pPr>
              <w:rPr>
                <w:rFonts w:ascii="仿宋" w:hAnsi="仿宋" w:eastAsia="仿宋" w:cs="Times New Roman"/>
                <w:kern w:val="0"/>
                <w:sz w:val="21"/>
                <w:szCs w:val="21"/>
              </w:rPr>
            </w:pPr>
            <w:r>
              <w:rPr>
                <w:rFonts w:hint="eastAsia" w:ascii="仿宋" w:hAnsi="仿宋" w:eastAsia="仿宋" w:cs="Times New Roman"/>
                <w:kern w:val="0"/>
                <w:sz w:val="21"/>
                <w:szCs w:val="21"/>
              </w:rPr>
              <w:t>记录患者体格检查信息，包括体格检查、体征信息、其他信息；</w:t>
            </w:r>
          </w:p>
        </w:tc>
      </w:tr>
      <w:tr w14:paraId="4691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2B6642B4">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B78E3D9">
            <w:pPr>
              <w:rPr>
                <w:rFonts w:ascii="仿宋" w:hAnsi="仿宋" w:eastAsia="仿宋" w:cs="Times New Roman"/>
                <w:kern w:val="0"/>
                <w:sz w:val="21"/>
                <w:szCs w:val="21"/>
              </w:rPr>
            </w:pPr>
            <w:r>
              <w:rPr>
                <w:rFonts w:hint="eastAsia" w:ascii="仿宋" w:hAnsi="仿宋" w:eastAsia="仿宋" w:cs="Times New Roman"/>
                <w:kern w:val="0"/>
                <w:sz w:val="21"/>
                <w:szCs w:val="21"/>
              </w:rPr>
              <w:t>急救措施</w:t>
            </w:r>
          </w:p>
        </w:tc>
        <w:tc>
          <w:tcPr>
            <w:tcW w:w="7371" w:type="dxa"/>
            <w:tcBorders>
              <w:top w:val="single" w:color="auto" w:sz="4" w:space="0"/>
              <w:left w:val="single" w:color="auto" w:sz="4" w:space="0"/>
              <w:bottom w:val="single" w:color="auto" w:sz="4" w:space="0"/>
              <w:right w:val="single" w:color="auto" w:sz="4" w:space="0"/>
            </w:tcBorders>
            <w:vAlign w:val="center"/>
          </w:tcPr>
          <w:p w14:paraId="28D05D5B">
            <w:pPr>
              <w:rPr>
                <w:rFonts w:ascii="仿宋" w:hAnsi="仿宋" w:eastAsia="仿宋" w:cs="Times New Roman"/>
                <w:kern w:val="0"/>
                <w:sz w:val="21"/>
                <w:szCs w:val="21"/>
              </w:rPr>
            </w:pPr>
            <w:r>
              <w:rPr>
                <w:rFonts w:hint="eastAsia" w:ascii="仿宋" w:hAnsi="仿宋" w:eastAsia="仿宋" w:cs="Times New Roman"/>
                <w:kern w:val="0"/>
                <w:sz w:val="21"/>
                <w:szCs w:val="21"/>
              </w:rPr>
              <w:t>记录患者急救措施信息，包括基础措施、急救措施和其他治疗，内置常用急救措施信息；</w:t>
            </w:r>
          </w:p>
        </w:tc>
      </w:tr>
      <w:tr w14:paraId="6265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787C10E4">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31ADB6D">
            <w:pPr>
              <w:rPr>
                <w:rFonts w:ascii="仿宋" w:hAnsi="仿宋" w:eastAsia="仿宋" w:cs="Times New Roman"/>
                <w:kern w:val="0"/>
                <w:sz w:val="21"/>
                <w:szCs w:val="21"/>
              </w:rPr>
            </w:pPr>
            <w:r>
              <w:rPr>
                <w:rFonts w:hint="eastAsia" w:ascii="仿宋" w:hAnsi="仿宋" w:eastAsia="仿宋" w:cs="Times New Roman"/>
                <w:kern w:val="0"/>
                <w:sz w:val="21"/>
                <w:szCs w:val="21"/>
              </w:rPr>
              <w:t>体征采集</w:t>
            </w:r>
          </w:p>
        </w:tc>
        <w:tc>
          <w:tcPr>
            <w:tcW w:w="7371" w:type="dxa"/>
            <w:tcBorders>
              <w:top w:val="single" w:color="auto" w:sz="4" w:space="0"/>
              <w:left w:val="single" w:color="auto" w:sz="4" w:space="0"/>
              <w:bottom w:val="single" w:color="auto" w:sz="4" w:space="0"/>
              <w:right w:val="single" w:color="auto" w:sz="4" w:space="0"/>
            </w:tcBorders>
            <w:vAlign w:val="center"/>
          </w:tcPr>
          <w:p w14:paraId="47DFFA67">
            <w:pPr>
              <w:rPr>
                <w:rFonts w:ascii="仿宋" w:hAnsi="仿宋" w:eastAsia="仿宋" w:cs="Times New Roman"/>
                <w:kern w:val="0"/>
                <w:sz w:val="21"/>
                <w:szCs w:val="21"/>
              </w:rPr>
            </w:pPr>
            <w:r>
              <w:rPr>
                <w:rFonts w:hint="eastAsia" w:ascii="仿宋" w:hAnsi="仿宋" w:eastAsia="仿宋" w:cs="Times New Roman"/>
                <w:kern w:val="0"/>
                <w:sz w:val="21"/>
                <w:szCs w:val="21"/>
              </w:rPr>
              <w:t>可通过网络自动采集已对接监护仪中的体征数据并录入到急救档案中；</w:t>
            </w:r>
          </w:p>
        </w:tc>
      </w:tr>
      <w:tr w14:paraId="488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1B487CC6">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0FF8562">
            <w:pPr>
              <w:rPr>
                <w:rFonts w:ascii="仿宋" w:hAnsi="仿宋" w:eastAsia="仿宋" w:cs="Times New Roman"/>
                <w:kern w:val="0"/>
                <w:sz w:val="21"/>
                <w:szCs w:val="21"/>
              </w:rPr>
            </w:pPr>
            <w:r>
              <w:rPr>
                <w:rFonts w:hint="eastAsia" w:ascii="仿宋" w:hAnsi="仿宋" w:eastAsia="仿宋" w:cs="Times New Roman"/>
                <w:kern w:val="0"/>
                <w:sz w:val="21"/>
                <w:szCs w:val="21"/>
              </w:rPr>
              <w:t>药物治疗</w:t>
            </w:r>
          </w:p>
        </w:tc>
        <w:tc>
          <w:tcPr>
            <w:tcW w:w="7371" w:type="dxa"/>
            <w:tcBorders>
              <w:top w:val="single" w:color="auto" w:sz="4" w:space="0"/>
              <w:left w:val="single" w:color="auto" w:sz="4" w:space="0"/>
              <w:bottom w:val="single" w:color="auto" w:sz="4" w:space="0"/>
              <w:right w:val="single" w:color="auto" w:sz="4" w:space="0"/>
            </w:tcBorders>
            <w:vAlign w:val="center"/>
          </w:tcPr>
          <w:p w14:paraId="4DF77F13">
            <w:pPr>
              <w:rPr>
                <w:rFonts w:ascii="仿宋" w:hAnsi="仿宋" w:eastAsia="仿宋" w:cs="Times New Roman"/>
                <w:kern w:val="0"/>
                <w:sz w:val="21"/>
                <w:szCs w:val="21"/>
              </w:rPr>
            </w:pPr>
            <w:r>
              <w:rPr>
                <w:rFonts w:hint="eastAsia" w:ascii="仿宋" w:hAnsi="仿宋" w:eastAsia="仿宋" w:cs="Times New Roman"/>
                <w:kern w:val="0"/>
                <w:sz w:val="21"/>
                <w:szCs w:val="21"/>
              </w:rPr>
              <w:t>记录患者用药信息，提供常用药模板，并提供胸痛、卒中、创伤三大类型常用药物模板；</w:t>
            </w:r>
          </w:p>
        </w:tc>
      </w:tr>
      <w:tr w14:paraId="4F2A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5DEF244C">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8BA54A6">
            <w:pPr>
              <w:rPr>
                <w:rFonts w:ascii="仿宋" w:hAnsi="仿宋" w:eastAsia="仿宋" w:cs="Times New Roman"/>
                <w:kern w:val="0"/>
                <w:sz w:val="21"/>
                <w:szCs w:val="21"/>
              </w:rPr>
            </w:pPr>
            <w:r>
              <w:rPr>
                <w:rFonts w:hint="eastAsia" w:ascii="仿宋" w:hAnsi="仿宋" w:eastAsia="仿宋" w:cs="Times New Roman"/>
                <w:kern w:val="0"/>
                <w:sz w:val="21"/>
                <w:szCs w:val="21"/>
              </w:rPr>
              <w:t>受伤部位</w:t>
            </w:r>
          </w:p>
        </w:tc>
        <w:tc>
          <w:tcPr>
            <w:tcW w:w="7371" w:type="dxa"/>
            <w:tcBorders>
              <w:top w:val="single" w:color="auto" w:sz="4" w:space="0"/>
              <w:left w:val="single" w:color="auto" w:sz="4" w:space="0"/>
              <w:bottom w:val="single" w:color="auto" w:sz="4" w:space="0"/>
              <w:right w:val="single" w:color="auto" w:sz="4" w:space="0"/>
            </w:tcBorders>
            <w:vAlign w:val="center"/>
          </w:tcPr>
          <w:p w14:paraId="1AFD101F">
            <w:pPr>
              <w:rPr>
                <w:rFonts w:ascii="仿宋" w:hAnsi="仿宋" w:eastAsia="仿宋" w:cs="Times New Roman"/>
                <w:kern w:val="0"/>
                <w:sz w:val="21"/>
                <w:szCs w:val="21"/>
              </w:rPr>
            </w:pPr>
            <w:r>
              <w:rPr>
                <w:rFonts w:hint="eastAsia" w:ascii="仿宋" w:hAnsi="仿宋" w:eastAsia="仿宋" w:cs="Times New Roman"/>
                <w:kern w:val="0"/>
                <w:sz w:val="21"/>
                <w:szCs w:val="21"/>
              </w:rPr>
              <w:t>患者受伤部位示意图，可进行标注；</w:t>
            </w:r>
          </w:p>
        </w:tc>
      </w:tr>
      <w:tr w14:paraId="0033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DA111A0">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67B23F3D">
            <w:pPr>
              <w:rPr>
                <w:rFonts w:ascii="仿宋" w:hAnsi="仿宋" w:eastAsia="仿宋" w:cs="Times New Roman"/>
                <w:kern w:val="0"/>
                <w:sz w:val="21"/>
                <w:szCs w:val="21"/>
              </w:rPr>
            </w:pPr>
            <w:r>
              <w:rPr>
                <w:rFonts w:hint="eastAsia" w:ascii="仿宋" w:hAnsi="仿宋" w:eastAsia="仿宋" w:cs="Times New Roman"/>
                <w:kern w:val="0"/>
                <w:sz w:val="21"/>
                <w:szCs w:val="21"/>
              </w:rPr>
              <w:t>患者附件</w:t>
            </w:r>
          </w:p>
        </w:tc>
        <w:tc>
          <w:tcPr>
            <w:tcW w:w="7371" w:type="dxa"/>
            <w:tcBorders>
              <w:top w:val="single" w:color="auto" w:sz="4" w:space="0"/>
              <w:left w:val="single" w:color="auto" w:sz="4" w:space="0"/>
              <w:bottom w:val="single" w:color="auto" w:sz="4" w:space="0"/>
              <w:right w:val="single" w:color="auto" w:sz="4" w:space="0"/>
            </w:tcBorders>
            <w:vAlign w:val="center"/>
          </w:tcPr>
          <w:p w14:paraId="00368DD4">
            <w:pPr>
              <w:rPr>
                <w:rFonts w:ascii="仿宋" w:hAnsi="仿宋" w:eastAsia="仿宋" w:cs="Times New Roman"/>
                <w:kern w:val="0"/>
                <w:sz w:val="21"/>
                <w:szCs w:val="21"/>
              </w:rPr>
            </w:pPr>
            <w:r>
              <w:rPr>
                <w:rFonts w:hint="eastAsia" w:ascii="仿宋" w:hAnsi="仿宋" w:eastAsia="仿宋" w:cs="Times New Roman"/>
                <w:kern w:val="0"/>
                <w:sz w:val="21"/>
                <w:szCs w:val="21"/>
              </w:rPr>
              <w:t>支持拍照及照片上传功能：可拍照并上传到服务器中，与病人信息进行关联；</w:t>
            </w:r>
          </w:p>
        </w:tc>
      </w:tr>
      <w:tr w14:paraId="7616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5B226D3C">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5AB705F3">
            <w:pPr>
              <w:rPr>
                <w:rFonts w:ascii="仿宋" w:hAnsi="仿宋" w:eastAsia="仿宋" w:cs="Times New Roman"/>
                <w:kern w:val="0"/>
                <w:sz w:val="21"/>
                <w:szCs w:val="21"/>
              </w:rPr>
            </w:pPr>
            <w:r>
              <w:rPr>
                <w:rFonts w:hint="eastAsia" w:ascii="仿宋" w:hAnsi="仿宋" w:eastAsia="仿宋" w:cs="Times New Roman"/>
                <w:kern w:val="0"/>
                <w:sz w:val="21"/>
                <w:szCs w:val="21"/>
              </w:rPr>
              <w:t>院前分诊</w:t>
            </w:r>
          </w:p>
        </w:tc>
        <w:tc>
          <w:tcPr>
            <w:tcW w:w="7371" w:type="dxa"/>
            <w:tcBorders>
              <w:top w:val="single" w:color="auto" w:sz="4" w:space="0"/>
              <w:left w:val="single" w:color="auto" w:sz="4" w:space="0"/>
              <w:bottom w:val="single" w:color="auto" w:sz="4" w:space="0"/>
              <w:right w:val="single" w:color="auto" w:sz="4" w:space="0"/>
            </w:tcBorders>
            <w:vAlign w:val="center"/>
          </w:tcPr>
          <w:p w14:paraId="55F84E2C">
            <w:pPr>
              <w:rPr>
                <w:rFonts w:ascii="仿宋" w:hAnsi="仿宋" w:eastAsia="仿宋" w:cs="Times New Roman"/>
                <w:kern w:val="0"/>
                <w:sz w:val="21"/>
                <w:szCs w:val="21"/>
              </w:rPr>
            </w:pPr>
            <w:r>
              <w:rPr>
                <w:rFonts w:hint="eastAsia" w:ascii="仿宋" w:hAnsi="仿宋" w:eastAsia="仿宋" w:cs="Times New Roman"/>
                <w:kern w:val="0"/>
                <w:sz w:val="21"/>
                <w:szCs w:val="21"/>
              </w:rPr>
              <w:t>可对患者进行院前预检分诊管理，包括病情等级、诊疗结果信息进行记录，同时，数据可以实时同步到医院的分诊调度工作站；</w:t>
            </w:r>
          </w:p>
        </w:tc>
      </w:tr>
      <w:tr w14:paraId="709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0E53A2B8">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4C2E4423">
            <w:pPr>
              <w:rPr>
                <w:rFonts w:ascii="仿宋" w:hAnsi="仿宋" w:eastAsia="仿宋" w:cs="Times New Roman"/>
                <w:kern w:val="0"/>
                <w:sz w:val="21"/>
                <w:szCs w:val="21"/>
              </w:rPr>
            </w:pPr>
            <w:r>
              <w:rPr>
                <w:rFonts w:hint="eastAsia" w:ascii="仿宋" w:hAnsi="仿宋" w:eastAsia="仿宋" w:cs="Times New Roman"/>
                <w:kern w:val="0"/>
                <w:sz w:val="21"/>
                <w:szCs w:val="21"/>
              </w:rPr>
              <w:t>患者去向</w:t>
            </w:r>
          </w:p>
        </w:tc>
        <w:tc>
          <w:tcPr>
            <w:tcW w:w="7371" w:type="dxa"/>
            <w:tcBorders>
              <w:top w:val="single" w:color="auto" w:sz="4" w:space="0"/>
              <w:left w:val="single" w:color="auto" w:sz="4" w:space="0"/>
              <w:bottom w:val="single" w:color="auto" w:sz="4" w:space="0"/>
              <w:right w:val="single" w:color="auto" w:sz="4" w:space="0"/>
            </w:tcBorders>
            <w:vAlign w:val="center"/>
          </w:tcPr>
          <w:p w14:paraId="5A91AE1B">
            <w:pPr>
              <w:rPr>
                <w:rFonts w:ascii="仿宋" w:hAnsi="仿宋" w:eastAsia="仿宋" w:cs="Times New Roman"/>
                <w:kern w:val="0"/>
                <w:sz w:val="21"/>
                <w:szCs w:val="21"/>
              </w:rPr>
            </w:pPr>
            <w:r>
              <w:rPr>
                <w:rFonts w:hint="eastAsia" w:ascii="仿宋" w:hAnsi="仿宋" w:eastAsia="仿宋" w:cs="Times New Roman"/>
                <w:kern w:val="0"/>
                <w:sz w:val="21"/>
                <w:szCs w:val="21"/>
              </w:rPr>
              <w:t>可记录患者去向，如：回院、转院、留原地等；</w:t>
            </w:r>
          </w:p>
        </w:tc>
      </w:tr>
      <w:tr w14:paraId="492D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E700F9E">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02B94BC3">
            <w:pPr>
              <w:rPr>
                <w:rFonts w:ascii="仿宋" w:hAnsi="仿宋" w:eastAsia="仿宋" w:cs="Times New Roman"/>
                <w:kern w:val="0"/>
                <w:sz w:val="21"/>
                <w:szCs w:val="21"/>
              </w:rPr>
            </w:pPr>
            <w:r>
              <w:rPr>
                <w:rFonts w:hint="eastAsia" w:ascii="仿宋" w:hAnsi="仿宋" w:eastAsia="仿宋" w:cs="Times New Roman"/>
                <w:kern w:val="0"/>
                <w:sz w:val="21"/>
                <w:szCs w:val="21"/>
              </w:rPr>
              <w:t>转院知情同意书</w:t>
            </w:r>
          </w:p>
        </w:tc>
        <w:tc>
          <w:tcPr>
            <w:tcW w:w="7371" w:type="dxa"/>
            <w:tcBorders>
              <w:top w:val="single" w:color="auto" w:sz="4" w:space="0"/>
              <w:left w:val="single" w:color="auto" w:sz="4" w:space="0"/>
              <w:bottom w:val="single" w:color="auto" w:sz="4" w:space="0"/>
              <w:right w:val="single" w:color="auto" w:sz="4" w:space="0"/>
            </w:tcBorders>
            <w:vAlign w:val="center"/>
          </w:tcPr>
          <w:p w14:paraId="624FD791">
            <w:pPr>
              <w:rPr>
                <w:rFonts w:ascii="仿宋" w:hAnsi="仿宋" w:eastAsia="仿宋" w:cs="Times New Roman"/>
                <w:kern w:val="0"/>
                <w:sz w:val="21"/>
                <w:szCs w:val="21"/>
              </w:rPr>
            </w:pPr>
            <w:r>
              <w:rPr>
                <w:rFonts w:hint="eastAsia" w:ascii="仿宋" w:hAnsi="仿宋" w:eastAsia="仿宋" w:cs="Times New Roman"/>
                <w:kern w:val="0"/>
                <w:sz w:val="21"/>
                <w:szCs w:val="21"/>
              </w:rPr>
              <w:t>患者转院则可对患者进行转院知情，并进行签名，并将知情同意书作为附件放在院前电子病历中；</w:t>
            </w:r>
          </w:p>
        </w:tc>
      </w:tr>
      <w:tr w14:paraId="1022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21AB0D30">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3DEAA699">
            <w:pPr>
              <w:rPr>
                <w:rFonts w:ascii="仿宋" w:hAnsi="仿宋" w:eastAsia="仿宋" w:cs="Times New Roman"/>
                <w:kern w:val="0"/>
                <w:sz w:val="21"/>
                <w:szCs w:val="21"/>
              </w:rPr>
            </w:pPr>
            <w:r>
              <w:rPr>
                <w:rFonts w:hint="eastAsia" w:ascii="仿宋" w:hAnsi="仿宋" w:eastAsia="仿宋" w:cs="Times New Roman"/>
                <w:kern w:val="0"/>
                <w:sz w:val="21"/>
                <w:szCs w:val="21"/>
              </w:rPr>
              <w:t>病历打印</w:t>
            </w:r>
          </w:p>
        </w:tc>
        <w:tc>
          <w:tcPr>
            <w:tcW w:w="7371" w:type="dxa"/>
            <w:tcBorders>
              <w:top w:val="single" w:color="auto" w:sz="4" w:space="0"/>
              <w:left w:val="single" w:color="auto" w:sz="4" w:space="0"/>
              <w:bottom w:val="single" w:color="auto" w:sz="4" w:space="0"/>
              <w:right w:val="single" w:color="auto" w:sz="4" w:space="0"/>
            </w:tcBorders>
            <w:vAlign w:val="center"/>
          </w:tcPr>
          <w:p w14:paraId="607F1BFC">
            <w:pPr>
              <w:rPr>
                <w:rFonts w:ascii="仿宋" w:hAnsi="仿宋" w:eastAsia="仿宋" w:cs="Times New Roman"/>
                <w:kern w:val="0"/>
                <w:sz w:val="21"/>
                <w:szCs w:val="21"/>
              </w:rPr>
            </w:pPr>
            <w:r>
              <w:rPr>
                <w:rFonts w:hint="eastAsia" w:ascii="仿宋" w:hAnsi="仿宋" w:eastAsia="仿宋" w:cs="Times New Roman"/>
                <w:kern w:val="0"/>
                <w:sz w:val="21"/>
                <w:szCs w:val="21"/>
              </w:rPr>
              <w:t>支持打印院前电子病历和转院知情同意书；</w:t>
            </w:r>
          </w:p>
        </w:tc>
      </w:tr>
      <w:tr w14:paraId="22D0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262AA385">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5DF442F3">
            <w:pPr>
              <w:rPr>
                <w:rFonts w:ascii="仿宋" w:hAnsi="仿宋" w:eastAsia="仿宋" w:cs="Times New Roman"/>
                <w:kern w:val="0"/>
                <w:sz w:val="21"/>
                <w:szCs w:val="21"/>
              </w:rPr>
            </w:pPr>
            <w:r>
              <w:rPr>
                <w:rFonts w:hint="eastAsia" w:ascii="仿宋" w:hAnsi="仿宋" w:eastAsia="仿宋" w:cs="Times New Roman"/>
                <w:kern w:val="0"/>
                <w:sz w:val="21"/>
                <w:szCs w:val="21"/>
              </w:rPr>
              <w:t>病历归档</w:t>
            </w:r>
          </w:p>
        </w:tc>
        <w:tc>
          <w:tcPr>
            <w:tcW w:w="7371" w:type="dxa"/>
            <w:tcBorders>
              <w:top w:val="single" w:color="auto" w:sz="4" w:space="0"/>
              <w:left w:val="single" w:color="auto" w:sz="4" w:space="0"/>
              <w:bottom w:val="single" w:color="auto" w:sz="4" w:space="0"/>
              <w:right w:val="single" w:color="auto" w:sz="4" w:space="0"/>
            </w:tcBorders>
            <w:vAlign w:val="center"/>
          </w:tcPr>
          <w:p w14:paraId="5945FF69">
            <w:pPr>
              <w:rPr>
                <w:rFonts w:ascii="仿宋" w:hAnsi="仿宋" w:eastAsia="仿宋" w:cs="Times New Roman"/>
                <w:kern w:val="0"/>
                <w:sz w:val="21"/>
                <w:szCs w:val="21"/>
                <w:highlight w:val="yellow"/>
              </w:rPr>
            </w:pPr>
            <w:r>
              <w:rPr>
                <w:rFonts w:hint="eastAsia" w:ascii="仿宋" w:hAnsi="仿宋" w:eastAsia="仿宋" w:cs="Times New Roman"/>
                <w:kern w:val="0"/>
                <w:sz w:val="21"/>
                <w:szCs w:val="21"/>
              </w:rPr>
              <w:t>可将急救档案进行归档，归档后只能查阅不能修改；</w:t>
            </w:r>
          </w:p>
        </w:tc>
      </w:tr>
      <w:tr w14:paraId="77B3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769792ED">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CDFA5A6">
            <w:pPr>
              <w:rPr>
                <w:rFonts w:ascii="仿宋" w:hAnsi="仿宋" w:eastAsia="仿宋" w:cs="Times New Roman"/>
                <w:kern w:val="0"/>
                <w:sz w:val="21"/>
                <w:szCs w:val="21"/>
                <w:highlight w:val="yellow"/>
              </w:rPr>
            </w:pPr>
            <w:r>
              <w:rPr>
                <w:rFonts w:hint="eastAsia" w:ascii="仿宋" w:hAnsi="仿宋" w:eastAsia="仿宋" w:cs="Times New Roman"/>
                <w:kern w:val="0"/>
                <w:sz w:val="21"/>
                <w:szCs w:val="21"/>
              </w:rPr>
              <w:t>离线档案</w:t>
            </w:r>
          </w:p>
        </w:tc>
        <w:tc>
          <w:tcPr>
            <w:tcW w:w="7371" w:type="dxa"/>
            <w:tcBorders>
              <w:top w:val="single" w:color="auto" w:sz="4" w:space="0"/>
              <w:left w:val="single" w:color="auto" w:sz="4" w:space="0"/>
              <w:bottom w:val="single" w:color="auto" w:sz="4" w:space="0"/>
              <w:right w:val="single" w:color="auto" w:sz="4" w:space="0"/>
            </w:tcBorders>
            <w:vAlign w:val="center"/>
          </w:tcPr>
          <w:p w14:paraId="7E66C034">
            <w:pPr>
              <w:rPr>
                <w:rFonts w:ascii="仿宋" w:hAnsi="仿宋" w:eastAsia="仿宋" w:cs="Times New Roman"/>
                <w:kern w:val="0"/>
                <w:sz w:val="21"/>
                <w:szCs w:val="21"/>
              </w:rPr>
            </w:pPr>
            <w:r>
              <w:rPr>
                <w:rFonts w:hint="eastAsia" w:ascii="仿宋" w:hAnsi="仿宋" w:eastAsia="仿宋" w:cs="Times New Roman"/>
                <w:kern w:val="0"/>
                <w:sz w:val="21"/>
                <w:szCs w:val="21"/>
              </w:rPr>
              <w:t>支持离线操作，当无网络的时候可离线创建病人病历，当网络连通后与调度信息进行关联；</w:t>
            </w:r>
          </w:p>
        </w:tc>
      </w:tr>
      <w:tr w14:paraId="5F22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2388D269">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FCBF78A">
            <w:pPr>
              <w:rPr>
                <w:rFonts w:ascii="仿宋" w:hAnsi="仿宋" w:eastAsia="仿宋" w:cs="Times New Roman"/>
                <w:kern w:val="0"/>
                <w:sz w:val="21"/>
                <w:szCs w:val="21"/>
              </w:rPr>
            </w:pPr>
            <w:r>
              <w:rPr>
                <w:rFonts w:hint="eastAsia" w:ascii="仿宋" w:hAnsi="仿宋" w:eastAsia="仿宋" w:cs="Times New Roman"/>
                <w:kern w:val="0"/>
                <w:sz w:val="21"/>
                <w:szCs w:val="21"/>
              </w:rPr>
              <w:t>绿色通道管理</w:t>
            </w:r>
          </w:p>
        </w:tc>
        <w:tc>
          <w:tcPr>
            <w:tcW w:w="7371" w:type="dxa"/>
            <w:tcBorders>
              <w:top w:val="single" w:color="auto" w:sz="4" w:space="0"/>
              <w:left w:val="single" w:color="auto" w:sz="4" w:space="0"/>
              <w:bottom w:val="single" w:color="auto" w:sz="4" w:space="0"/>
              <w:right w:val="single" w:color="auto" w:sz="4" w:space="0"/>
            </w:tcBorders>
            <w:vAlign w:val="center"/>
          </w:tcPr>
          <w:p w14:paraId="21E1E3AE">
            <w:pPr>
              <w:rPr>
                <w:rFonts w:ascii="仿宋" w:hAnsi="仿宋" w:eastAsia="仿宋" w:cs="Times New Roman"/>
                <w:kern w:val="0"/>
                <w:sz w:val="21"/>
                <w:szCs w:val="21"/>
              </w:rPr>
            </w:pPr>
            <w:r>
              <w:rPr>
                <w:rFonts w:hint="eastAsia" w:ascii="仿宋" w:hAnsi="仿宋" w:eastAsia="仿宋" w:cs="Times New Roman"/>
                <w:kern w:val="0"/>
                <w:sz w:val="21"/>
                <w:szCs w:val="21"/>
              </w:rPr>
              <w:t>申请绿色通道：医护人员可在院前为患者申请绿色通道，并形成绿色通道，可连同院前急救病历信息一同发送至院内；</w:t>
            </w:r>
          </w:p>
        </w:tc>
      </w:tr>
      <w:tr w14:paraId="53C9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59BCDCCA">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671C9E0B">
            <w:pPr>
              <w:rPr>
                <w:rFonts w:ascii="仿宋" w:hAnsi="仿宋" w:eastAsia="仿宋" w:cs="Times New Roman"/>
                <w:kern w:val="0"/>
                <w:sz w:val="21"/>
                <w:szCs w:val="21"/>
                <w:highlight w:val="yellow"/>
              </w:rPr>
            </w:pPr>
            <w:r>
              <w:rPr>
                <w:rFonts w:hint="eastAsia" w:ascii="仿宋" w:hAnsi="仿宋" w:eastAsia="仿宋" w:cs="Times New Roman"/>
                <w:kern w:val="0"/>
                <w:sz w:val="21"/>
                <w:szCs w:val="21"/>
              </w:rPr>
              <w:t>群体事件查询</w:t>
            </w:r>
          </w:p>
        </w:tc>
        <w:tc>
          <w:tcPr>
            <w:tcW w:w="7371" w:type="dxa"/>
            <w:tcBorders>
              <w:top w:val="single" w:color="auto" w:sz="4" w:space="0"/>
              <w:left w:val="single" w:color="auto" w:sz="4" w:space="0"/>
              <w:bottom w:val="single" w:color="auto" w:sz="4" w:space="0"/>
              <w:right w:val="single" w:color="auto" w:sz="4" w:space="0"/>
            </w:tcBorders>
            <w:vAlign w:val="center"/>
          </w:tcPr>
          <w:p w14:paraId="6A70BB5D">
            <w:pPr>
              <w:rPr>
                <w:rFonts w:ascii="仿宋" w:hAnsi="仿宋" w:eastAsia="仿宋" w:cs="Times New Roman"/>
                <w:kern w:val="0"/>
                <w:sz w:val="21"/>
                <w:szCs w:val="21"/>
              </w:rPr>
            </w:pPr>
            <w:r>
              <w:rPr>
                <w:rFonts w:hint="eastAsia" w:ascii="仿宋" w:hAnsi="仿宋" w:eastAsia="仿宋" w:cs="Times New Roman"/>
                <w:kern w:val="0"/>
                <w:sz w:val="21"/>
                <w:szCs w:val="21"/>
              </w:rPr>
              <w:t>群体事件查询：可查询所有的群体事件信息及其关联的病人、创建群体事件、关联群体事件；</w:t>
            </w:r>
          </w:p>
        </w:tc>
      </w:tr>
      <w:tr w14:paraId="5142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0FA6EC8D">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5E5BF2AA">
            <w:pPr>
              <w:rPr>
                <w:rFonts w:ascii="仿宋" w:hAnsi="仿宋" w:eastAsia="仿宋" w:cs="Times New Roman"/>
                <w:kern w:val="0"/>
                <w:sz w:val="21"/>
                <w:szCs w:val="21"/>
                <w:highlight w:val="yellow"/>
              </w:rPr>
            </w:pPr>
            <w:r>
              <w:rPr>
                <w:rFonts w:hint="eastAsia" w:ascii="仿宋" w:hAnsi="仿宋" w:eastAsia="仿宋" w:cs="Times New Roman"/>
                <w:kern w:val="0"/>
                <w:sz w:val="21"/>
                <w:szCs w:val="21"/>
              </w:rPr>
              <w:t>院前会诊申请</w:t>
            </w:r>
          </w:p>
        </w:tc>
        <w:tc>
          <w:tcPr>
            <w:tcW w:w="7371" w:type="dxa"/>
            <w:tcBorders>
              <w:top w:val="single" w:color="auto" w:sz="4" w:space="0"/>
              <w:left w:val="single" w:color="auto" w:sz="4" w:space="0"/>
              <w:bottom w:val="single" w:color="auto" w:sz="4" w:space="0"/>
              <w:right w:val="single" w:color="auto" w:sz="4" w:space="0"/>
            </w:tcBorders>
            <w:vAlign w:val="center"/>
          </w:tcPr>
          <w:p w14:paraId="2324D86B">
            <w:pPr>
              <w:rPr>
                <w:rFonts w:ascii="仿宋" w:hAnsi="仿宋" w:eastAsia="仿宋" w:cs="Times New Roman"/>
                <w:kern w:val="0"/>
                <w:sz w:val="21"/>
                <w:szCs w:val="21"/>
              </w:rPr>
            </w:pPr>
            <w:r>
              <w:rPr>
                <w:rFonts w:hint="eastAsia" w:ascii="仿宋" w:hAnsi="仿宋" w:eastAsia="仿宋" w:cs="Times New Roman"/>
                <w:kern w:val="0"/>
                <w:sz w:val="21"/>
                <w:szCs w:val="21"/>
              </w:rPr>
              <w:t>支持院前会诊申请、会诊过程及会诊意见记录等功能；</w:t>
            </w:r>
          </w:p>
        </w:tc>
      </w:tr>
      <w:tr w14:paraId="4155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093CDA9">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3206BFAB">
            <w:pPr>
              <w:rPr>
                <w:rFonts w:ascii="仿宋" w:hAnsi="仿宋" w:eastAsia="仿宋" w:cs="Times New Roman"/>
                <w:kern w:val="0"/>
                <w:sz w:val="21"/>
                <w:szCs w:val="21"/>
              </w:rPr>
            </w:pPr>
            <w:r>
              <w:rPr>
                <w:rFonts w:hint="eastAsia" w:ascii="仿宋" w:hAnsi="仿宋" w:eastAsia="仿宋" w:cs="Times New Roman"/>
                <w:kern w:val="0"/>
                <w:sz w:val="21"/>
                <w:szCs w:val="21"/>
              </w:rPr>
              <w:t>远程会诊协同</w:t>
            </w:r>
          </w:p>
        </w:tc>
        <w:tc>
          <w:tcPr>
            <w:tcW w:w="7371" w:type="dxa"/>
            <w:tcBorders>
              <w:top w:val="single" w:color="auto" w:sz="4" w:space="0"/>
              <w:left w:val="single" w:color="auto" w:sz="4" w:space="0"/>
              <w:bottom w:val="single" w:color="auto" w:sz="4" w:space="0"/>
              <w:right w:val="single" w:color="auto" w:sz="4" w:space="0"/>
            </w:tcBorders>
            <w:vAlign w:val="center"/>
          </w:tcPr>
          <w:p w14:paraId="54DF7439">
            <w:pPr>
              <w:rPr>
                <w:rFonts w:ascii="仿宋" w:hAnsi="仿宋" w:eastAsia="仿宋" w:cs="Times New Roman"/>
                <w:kern w:val="0"/>
                <w:sz w:val="21"/>
                <w:szCs w:val="21"/>
              </w:rPr>
            </w:pPr>
            <w:r>
              <w:rPr>
                <w:rFonts w:hint="eastAsia" w:ascii="仿宋" w:hAnsi="仿宋" w:eastAsia="仿宋" w:cs="Times New Roman"/>
                <w:kern w:val="0"/>
                <w:sz w:val="21"/>
                <w:szCs w:val="21"/>
              </w:rPr>
              <w:t>可查看在线用户，并与院内客户端进行会诊协同（文字/语音/图片），同时可以将会诊的语音转换成文字信息；</w:t>
            </w:r>
          </w:p>
        </w:tc>
      </w:tr>
      <w:tr w14:paraId="01DB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7CD5BF82">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2D78EACD">
            <w:pPr>
              <w:rPr>
                <w:rFonts w:ascii="仿宋" w:hAnsi="仿宋" w:eastAsia="仿宋" w:cs="Times New Roman"/>
                <w:kern w:val="0"/>
                <w:sz w:val="21"/>
                <w:szCs w:val="21"/>
              </w:rPr>
            </w:pPr>
            <w:r>
              <w:rPr>
                <w:rFonts w:hint="eastAsia" w:ascii="仿宋" w:hAnsi="仿宋" w:eastAsia="仿宋" w:cs="Times New Roman"/>
                <w:kern w:val="0"/>
                <w:sz w:val="21"/>
                <w:szCs w:val="21"/>
              </w:rPr>
              <w:t>档案传输</w:t>
            </w:r>
          </w:p>
        </w:tc>
        <w:tc>
          <w:tcPr>
            <w:tcW w:w="7371" w:type="dxa"/>
            <w:tcBorders>
              <w:top w:val="single" w:color="auto" w:sz="4" w:space="0"/>
              <w:left w:val="single" w:color="auto" w:sz="4" w:space="0"/>
              <w:bottom w:val="single" w:color="auto" w:sz="4" w:space="0"/>
              <w:right w:val="single" w:color="auto" w:sz="4" w:space="0"/>
            </w:tcBorders>
            <w:vAlign w:val="center"/>
          </w:tcPr>
          <w:p w14:paraId="41A80757">
            <w:pPr>
              <w:rPr>
                <w:rFonts w:ascii="仿宋" w:hAnsi="仿宋" w:eastAsia="仿宋" w:cs="Times New Roman"/>
                <w:kern w:val="0"/>
                <w:sz w:val="21"/>
                <w:szCs w:val="21"/>
              </w:rPr>
            </w:pPr>
            <w:r>
              <w:rPr>
                <w:rFonts w:hint="eastAsia" w:ascii="仿宋" w:hAnsi="仿宋" w:eastAsia="仿宋" w:cs="Times New Roman"/>
                <w:kern w:val="0"/>
                <w:sz w:val="21"/>
                <w:szCs w:val="21"/>
              </w:rPr>
              <w:t>可将院前急救档案信息传送至院内；</w:t>
            </w:r>
          </w:p>
        </w:tc>
      </w:tr>
      <w:tr w14:paraId="41ED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6D3651A">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48F7FC42">
            <w:pPr>
              <w:rPr>
                <w:rFonts w:ascii="仿宋" w:hAnsi="仿宋" w:eastAsia="仿宋" w:cs="Times New Roman"/>
                <w:kern w:val="0"/>
                <w:sz w:val="21"/>
                <w:szCs w:val="21"/>
              </w:rPr>
            </w:pPr>
            <w:r>
              <w:rPr>
                <w:rFonts w:hint="eastAsia" w:ascii="仿宋" w:hAnsi="仿宋" w:eastAsia="仿宋" w:cs="Times New Roman"/>
                <w:kern w:val="0"/>
                <w:sz w:val="21"/>
                <w:szCs w:val="21"/>
              </w:rPr>
              <w:t>院前患者列表</w:t>
            </w:r>
          </w:p>
        </w:tc>
        <w:tc>
          <w:tcPr>
            <w:tcW w:w="7371" w:type="dxa"/>
            <w:tcBorders>
              <w:top w:val="single" w:color="auto" w:sz="4" w:space="0"/>
              <w:left w:val="single" w:color="auto" w:sz="4" w:space="0"/>
              <w:bottom w:val="single" w:color="auto" w:sz="4" w:space="0"/>
              <w:right w:val="single" w:color="auto" w:sz="4" w:space="0"/>
            </w:tcBorders>
            <w:vAlign w:val="center"/>
          </w:tcPr>
          <w:p w14:paraId="7ECF0445">
            <w:pPr>
              <w:rPr>
                <w:rFonts w:ascii="仿宋" w:hAnsi="仿宋" w:eastAsia="仿宋" w:cs="Times New Roman"/>
                <w:kern w:val="0"/>
                <w:sz w:val="21"/>
                <w:szCs w:val="21"/>
              </w:rPr>
            </w:pPr>
            <w:r>
              <w:rPr>
                <w:rFonts w:hint="eastAsia" w:ascii="仿宋" w:hAnsi="仿宋" w:eastAsia="仿宋" w:cs="Times New Roman"/>
                <w:kern w:val="0"/>
                <w:sz w:val="21"/>
                <w:szCs w:val="21"/>
              </w:rPr>
              <w:t>可查看院前急救患者信息以及其关联的调度信息；</w:t>
            </w:r>
          </w:p>
        </w:tc>
      </w:tr>
      <w:tr w14:paraId="6DE6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018E2E67">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BBBD806">
            <w:pPr>
              <w:rPr>
                <w:rFonts w:ascii="仿宋" w:hAnsi="仿宋" w:eastAsia="仿宋" w:cs="Times New Roman"/>
                <w:kern w:val="0"/>
                <w:sz w:val="21"/>
                <w:szCs w:val="21"/>
              </w:rPr>
            </w:pPr>
            <w:r>
              <w:rPr>
                <w:rFonts w:hint="eastAsia" w:ascii="仿宋" w:hAnsi="仿宋" w:eastAsia="仿宋" w:cs="Times New Roman"/>
                <w:kern w:val="0"/>
                <w:sz w:val="21"/>
                <w:szCs w:val="21"/>
              </w:rPr>
              <w:t>快速复制</w:t>
            </w:r>
          </w:p>
        </w:tc>
        <w:tc>
          <w:tcPr>
            <w:tcW w:w="7371" w:type="dxa"/>
            <w:tcBorders>
              <w:top w:val="single" w:color="auto" w:sz="4" w:space="0"/>
              <w:left w:val="single" w:color="auto" w:sz="4" w:space="0"/>
              <w:bottom w:val="single" w:color="auto" w:sz="4" w:space="0"/>
              <w:right w:val="single" w:color="auto" w:sz="4" w:space="0"/>
            </w:tcBorders>
            <w:vAlign w:val="center"/>
          </w:tcPr>
          <w:p w14:paraId="61E81D45">
            <w:pPr>
              <w:rPr>
                <w:rFonts w:ascii="仿宋" w:hAnsi="仿宋" w:eastAsia="仿宋" w:cs="Times New Roman"/>
                <w:kern w:val="0"/>
                <w:sz w:val="21"/>
                <w:szCs w:val="21"/>
              </w:rPr>
            </w:pPr>
            <w:r>
              <w:rPr>
                <w:rFonts w:hint="eastAsia" w:ascii="仿宋" w:hAnsi="仿宋" w:eastAsia="仿宋" w:cs="Times New Roman"/>
                <w:kern w:val="0"/>
                <w:sz w:val="21"/>
                <w:szCs w:val="21"/>
              </w:rPr>
              <w:t>可直接复制急救患者信息及其关联的调度信息来快速录入；</w:t>
            </w:r>
          </w:p>
        </w:tc>
      </w:tr>
      <w:tr w14:paraId="3082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37E59B8A">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27CDCB01">
            <w:pPr>
              <w:rPr>
                <w:rFonts w:ascii="仿宋" w:hAnsi="仿宋" w:eastAsia="仿宋" w:cs="Times New Roman"/>
                <w:kern w:val="0"/>
                <w:sz w:val="21"/>
                <w:szCs w:val="21"/>
              </w:rPr>
            </w:pPr>
            <w:r>
              <w:rPr>
                <w:rFonts w:hint="eastAsia" w:ascii="仿宋" w:hAnsi="仿宋" w:eastAsia="仿宋" w:cs="Times New Roman"/>
                <w:kern w:val="0"/>
                <w:sz w:val="21"/>
                <w:szCs w:val="21"/>
              </w:rPr>
              <w:t>院前急救路径</w:t>
            </w:r>
          </w:p>
        </w:tc>
        <w:tc>
          <w:tcPr>
            <w:tcW w:w="7371" w:type="dxa"/>
            <w:tcBorders>
              <w:top w:val="single" w:color="auto" w:sz="4" w:space="0"/>
              <w:left w:val="single" w:color="auto" w:sz="4" w:space="0"/>
              <w:bottom w:val="single" w:color="auto" w:sz="4" w:space="0"/>
              <w:right w:val="single" w:color="auto" w:sz="4" w:space="0"/>
            </w:tcBorders>
            <w:vAlign w:val="center"/>
          </w:tcPr>
          <w:p w14:paraId="4D8A600C">
            <w:pPr>
              <w:rPr>
                <w:rFonts w:ascii="仿宋" w:hAnsi="仿宋" w:eastAsia="仿宋" w:cs="Times New Roman"/>
                <w:kern w:val="0"/>
                <w:sz w:val="21"/>
                <w:szCs w:val="21"/>
              </w:rPr>
            </w:pPr>
            <w:r>
              <w:rPr>
                <w:rFonts w:hint="eastAsia" w:ascii="仿宋" w:hAnsi="仿宋" w:eastAsia="仿宋" w:cs="Times New Roman"/>
                <w:kern w:val="0"/>
                <w:sz w:val="21"/>
                <w:szCs w:val="21"/>
              </w:rPr>
              <w:t>可查看病人从呼救、发病、到120到达现场以及实时抢救过程中的关键节点的诊疗时间轴。</w:t>
            </w:r>
          </w:p>
        </w:tc>
      </w:tr>
      <w:tr w14:paraId="6F73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925" w:type="dxa"/>
            <w:vMerge w:val="restart"/>
            <w:tcBorders>
              <w:top w:val="single" w:color="auto" w:sz="4" w:space="0"/>
              <w:left w:val="single" w:color="auto" w:sz="4" w:space="0"/>
              <w:bottom w:val="single" w:color="auto" w:sz="4" w:space="0"/>
              <w:right w:val="single" w:color="auto" w:sz="4" w:space="0"/>
            </w:tcBorders>
            <w:vAlign w:val="center"/>
          </w:tcPr>
          <w:p w14:paraId="019E6204">
            <w:pPr>
              <w:rPr>
                <w:rFonts w:ascii="仿宋" w:hAnsi="仿宋" w:eastAsia="仿宋" w:cs="Times New Roman"/>
                <w:kern w:val="0"/>
                <w:sz w:val="21"/>
                <w:szCs w:val="21"/>
              </w:rPr>
            </w:pPr>
            <w:r>
              <w:rPr>
                <w:rFonts w:hint="eastAsia" w:ascii="仿宋" w:hAnsi="仿宋" w:eastAsia="仿宋" w:cs="Times New Roman"/>
                <w:kern w:val="0"/>
                <w:sz w:val="21"/>
                <w:szCs w:val="21"/>
              </w:rPr>
              <w:t>院前急救管理</w:t>
            </w:r>
          </w:p>
        </w:tc>
        <w:tc>
          <w:tcPr>
            <w:tcW w:w="1477" w:type="dxa"/>
            <w:tcBorders>
              <w:top w:val="single" w:color="auto" w:sz="4" w:space="0"/>
              <w:left w:val="single" w:color="auto" w:sz="4" w:space="0"/>
              <w:bottom w:val="single" w:color="auto" w:sz="4" w:space="0"/>
              <w:right w:val="single" w:color="auto" w:sz="4" w:space="0"/>
            </w:tcBorders>
            <w:vAlign w:val="center"/>
          </w:tcPr>
          <w:p w14:paraId="2FF70538">
            <w:pPr>
              <w:rPr>
                <w:rFonts w:ascii="仿宋" w:hAnsi="仿宋" w:eastAsia="仿宋" w:cs="Times New Roman"/>
                <w:kern w:val="0"/>
                <w:sz w:val="21"/>
                <w:szCs w:val="21"/>
              </w:rPr>
            </w:pPr>
            <w:r>
              <w:rPr>
                <w:rFonts w:hint="eastAsia" w:ascii="仿宋" w:hAnsi="仿宋" w:eastAsia="仿宋" w:cs="Times New Roman"/>
                <w:kern w:val="0"/>
                <w:sz w:val="21"/>
                <w:szCs w:val="21"/>
              </w:rPr>
              <w:t>接诊调度信息</w:t>
            </w:r>
          </w:p>
        </w:tc>
        <w:tc>
          <w:tcPr>
            <w:tcW w:w="7371" w:type="dxa"/>
            <w:tcBorders>
              <w:top w:val="single" w:color="auto" w:sz="4" w:space="0"/>
              <w:left w:val="single" w:color="auto" w:sz="4" w:space="0"/>
              <w:bottom w:val="single" w:color="auto" w:sz="4" w:space="0"/>
              <w:right w:val="single" w:color="auto" w:sz="4" w:space="0"/>
            </w:tcBorders>
            <w:vAlign w:val="center"/>
          </w:tcPr>
          <w:p w14:paraId="45562308">
            <w:pPr>
              <w:rPr>
                <w:rFonts w:ascii="仿宋" w:hAnsi="仿宋" w:eastAsia="仿宋" w:cs="Times New Roman"/>
                <w:kern w:val="0"/>
                <w:sz w:val="21"/>
                <w:szCs w:val="21"/>
              </w:rPr>
            </w:pPr>
            <w:r>
              <w:rPr>
                <w:rFonts w:hint="eastAsia" w:ascii="仿宋" w:hAnsi="仿宋" w:eastAsia="仿宋" w:cs="Times New Roman"/>
                <w:kern w:val="0"/>
                <w:sz w:val="21"/>
                <w:szCs w:val="21"/>
              </w:rPr>
              <w:t>可查阅120急救中心或医院发送的调度信息；</w:t>
            </w:r>
          </w:p>
        </w:tc>
      </w:tr>
      <w:tr w14:paraId="3DA6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56043A97">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550545A5">
            <w:pPr>
              <w:rPr>
                <w:rFonts w:ascii="仿宋" w:hAnsi="仿宋" w:eastAsia="仿宋" w:cs="Times New Roman"/>
                <w:kern w:val="0"/>
                <w:sz w:val="21"/>
                <w:szCs w:val="21"/>
              </w:rPr>
            </w:pPr>
            <w:r>
              <w:rPr>
                <w:rFonts w:hint="eastAsia" w:ascii="仿宋" w:hAnsi="仿宋" w:eastAsia="仿宋" w:cs="Times New Roman"/>
                <w:kern w:val="0"/>
                <w:sz w:val="21"/>
                <w:szCs w:val="21"/>
              </w:rPr>
              <w:t>急救档案</w:t>
            </w:r>
          </w:p>
        </w:tc>
        <w:tc>
          <w:tcPr>
            <w:tcW w:w="7371" w:type="dxa"/>
            <w:tcBorders>
              <w:top w:val="single" w:color="auto" w:sz="4" w:space="0"/>
              <w:left w:val="single" w:color="auto" w:sz="4" w:space="0"/>
              <w:bottom w:val="single" w:color="auto" w:sz="4" w:space="0"/>
              <w:right w:val="single" w:color="auto" w:sz="4" w:space="0"/>
            </w:tcBorders>
            <w:vAlign w:val="center"/>
          </w:tcPr>
          <w:p w14:paraId="0D603D93">
            <w:pPr>
              <w:rPr>
                <w:rFonts w:ascii="仿宋" w:hAnsi="仿宋" w:eastAsia="仿宋" w:cs="Times New Roman"/>
                <w:kern w:val="0"/>
                <w:sz w:val="21"/>
                <w:szCs w:val="21"/>
              </w:rPr>
            </w:pPr>
            <w:r>
              <w:rPr>
                <w:rFonts w:hint="eastAsia" w:ascii="仿宋" w:hAnsi="仿宋" w:eastAsia="仿宋" w:cs="Times New Roman"/>
                <w:kern w:val="0"/>
                <w:sz w:val="21"/>
                <w:szCs w:val="21"/>
              </w:rPr>
              <w:t>可查看院前急救APP发回来的院前病人急救档案信息；</w:t>
            </w:r>
          </w:p>
        </w:tc>
      </w:tr>
      <w:tr w14:paraId="6439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2A4B7739">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05C060B0">
            <w:pPr>
              <w:rPr>
                <w:rFonts w:ascii="仿宋" w:hAnsi="仿宋" w:eastAsia="仿宋" w:cs="Times New Roman"/>
                <w:kern w:val="0"/>
                <w:sz w:val="21"/>
                <w:szCs w:val="21"/>
              </w:rPr>
            </w:pPr>
            <w:r>
              <w:rPr>
                <w:rFonts w:hint="eastAsia" w:ascii="仿宋" w:hAnsi="仿宋" w:eastAsia="仿宋" w:cs="Times New Roman"/>
                <w:kern w:val="0"/>
                <w:sz w:val="21"/>
                <w:szCs w:val="21"/>
              </w:rPr>
              <w:t>接诊信息</w:t>
            </w:r>
          </w:p>
        </w:tc>
        <w:tc>
          <w:tcPr>
            <w:tcW w:w="7371" w:type="dxa"/>
            <w:tcBorders>
              <w:top w:val="single" w:color="auto" w:sz="4" w:space="0"/>
              <w:left w:val="single" w:color="auto" w:sz="4" w:space="0"/>
              <w:bottom w:val="single" w:color="auto" w:sz="4" w:space="0"/>
              <w:right w:val="single" w:color="auto" w:sz="4" w:space="0"/>
            </w:tcBorders>
            <w:vAlign w:val="center"/>
          </w:tcPr>
          <w:p w14:paraId="64193394">
            <w:pPr>
              <w:rPr>
                <w:rFonts w:ascii="仿宋" w:hAnsi="仿宋" w:eastAsia="仿宋" w:cs="Times New Roman"/>
                <w:kern w:val="0"/>
                <w:sz w:val="21"/>
                <w:szCs w:val="21"/>
              </w:rPr>
            </w:pPr>
            <w:r>
              <w:rPr>
                <w:rFonts w:hint="eastAsia" w:ascii="仿宋" w:hAnsi="仿宋" w:eastAsia="仿宋" w:cs="Times New Roman"/>
                <w:kern w:val="0"/>
                <w:sz w:val="21"/>
                <w:szCs w:val="21"/>
              </w:rPr>
              <w:t>可查询所有的接诊信息，包括120急救患者、急诊挂号患者、门诊转急诊患者、小程序登记患者、电话呼救患者；</w:t>
            </w:r>
          </w:p>
        </w:tc>
      </w:tr>
      <w:tr w14:paraId="0068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96918A8">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3E4A6178">
            <w:pPr>
              <w:rPr>
                <w:rFonts w:ascii="仿宋" w:hAnsi="仿宋" w:eastAsia="仿宋" w:cs="Times New Roman"/>
                <w:kern w:val="0"/>
                <w:sz w:val="21"/>
                <w:szCs w:val="21"/>
              </w:rPr>
            </w:pPr>
            <w:r>
              <w:rPr>
                <w:rFonts w:hint="eastAsia" w:ascii="仿宋" w:hAnsi="仿宋" w:eastAsia="仿宋" w:cs="Times New Roman"/>
                <w:kern w:val="0"/>
                <w:sz w:val="21"/>
                <w:szCs w:val="21"/>
              </w:rPr>
              <w:t>急救物资管理</w:t>
            </w:r>
          </w:p>
        </w:tc>
        <w:tc>
          <w:tcPr>
            <w:tcW w:w="7371" w:type="dxa"/>
            <w:tcBorders>
              <w:top w:val="single" w:color="auto" w:sz="4" w:space="0"/>
              <w:left w:val="single" w:color="auto" w:sz="4" w:space="0"/>
              <w:bottom w:val="single" w:color="auto" w:sz="4" w:space="0"/>
              <w:right w:val="single" w:color="auto" w:sz="4" w:space="0"/>
            </w:tcBorders>
            <w:vAlign w:val="center"/>
          </w:tcPr>
          <w:p w14:paraId="6B525FE9">
            <w:pPr>
              <w:rPr>
                <w:rFonts w:ascii="仿宋" w:hAnsi="仿宋" w:eastAsia="仿宋" w:cs="Times New Roman"/>
                <w:kern w:val="0"/>
                <w:sz w:val="21"/>
                <w:szCs w:val="21"/>
              </w:rPr>
            </w:pPr>
            <w:r>
              <w:rPr>
                <w:rFonts w:hint="eastAsia" w:ascii="仿宋" w:hAnsi="仿宋" w:eastAsia="仿宋" w:cs="Times New Roman"/>
                <w:kern w:val="0"/>
                <w:sz w:val="21"/>
                <w:szCs w:val="21"/>
              </w:rPr>
              <w:t>可对急救物资进行维护，包括仪器设备，药物，耗材等，支持对各类物资进行分区与分区设置；</w:t>
            </w:r>
          </w:p>
        </w:tc>
      </w:tr>
      <w:tr w14:paraId="30F9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44EB35C8">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36323D55">
            <w:pPr>
              <w:rPr>
                <w:rFonts w:ascii="仿宋" w:hAnsi="仿宋" w:eastAsia="仿宋" w:cs="Times New Roman"/>
                <w:kern w:val="0"/>
                <w:sz w:val="21"/>
                <w:szCs w:val="21"/>
              </w:rPr>
            </w:pPr>
            <w:r>
              <w:rPr>
                <w:rFonts w:hint="eastAsia" w:ascii="仿宋" w:hAnsi="仿宋" w:eastAsia="仿宋" w:cs="Times New Roman"/>
                <w:kern w:val="0"/>
                <w:sz w:val="21"/>
                <w:szCs w:val="21"/>
              </w:rPr>
              <w:t>救护车维护</w:t>
            </w:r>
          </w:p>
        </w:tc>
        <w:tc>
          <w:tcPr>
            <w:tcW w:w="7371" w:type="dxa"/>
            <w:tcBorders>
              <w:top w:val="single" w:color="auto" w:sz="4" w:space="0"/>
              <w:left w:val="single" w:color="auto" w:sz="4" w:space="0"/>
              <w:bottom w:val="single" w:color="auto" w:sz="4" w:space="0"/>
              <w:right w:val="single" w:color="auto" w:sz="4" w:space="0"/>
            </w:tcBorders>
            <w:vAlign w:val="center"/>
          </w:tcPr>
          <w:p w14:paraId="58375F44">
            <w:pPr>
              <w:rPr>
                <w:rFonts w:ascii="仿宋" w:hAnsi="仿宋" w:eastAsia="仿宋" w:cs="Times New Roman"/>
                <w:kern w:val="0"/>
                <w:sz w:val="21"/>
                <w:szCs w:val="21"/>
              </w:rPr>
            </w:pPr>
            <w:r>
              <w:rPr>
                <w:rFonts w:hint="eastAsia" w:ascii="仿宋" w:hAnsi="仿宋" w:eastAsia="仿宋" w:cs="Times New Roman"/>
                <w:kern w:val="0"/>
                <w:sz w:val="21"/>
                <w:szCs w:val="21"/>
              </w:rPr>
              <w:t>可创建和维护救护车信息；</w:t>
            </w:r>
          </w:p>
        </w:tc>
      </w:tr>
      <w:tr w14:paraId="3EAD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7C558986">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32E1F34D">
            <w:pPr>
              <w:rPr>
                <w:rFonts w:ascii="仿宋" w:hAnsi="仿宋" w:eastAsia="仿宋" w:cs="Times New Roman"/>
                <w:kern w:val="0"/>
                <w:sz w:val="21"/>
                <w:szCs w:val="21"/>
              </w:rPr>
            </w:pPr>
            <w:r>
              <w:rPr>
                <w:rFonts w:hint="eastAsia" w:ascii="仿宋" w:hAnsi="仿宋" w:eastAsia="仿宋" w:cs="Times New Roman"/>
                <w:kern w:val="0"/>
                <w:sz w:val="21"/>
                <w:szCs w:val="21"/>
              </w:rPr>
              <w:t>救护车状态查询</w:t>
            </w:r>
          </w:p>
        </w:tc>
        <w:tc>
          <w:tcPr>
            <w:tcW w:w="7371" w:type="dxa"/>
            <w:tcBorders>
              <w:top w:val="single" w:color="auto" w:sz="4" w:space="0"/>
              <w:left w:val="single" w:color="auto" w:sz="4" w:space="0"/>
              <w:bottom w:val="single" w:color="auto" w:sz="4" w:space="0"/>
              <w:right w:val="single" w:color="auto" w:sz="4" w:space="0"/>
            </w:tcBorders>
            <w:vAlign w:val="center"/>
          </w:tcPr>
          <w:p w14:paraId="6341CD2C">
            <w:pPr>
              <w:rPr>
                <w:rFonts w:ascii="仿宋" w:hAnsi="仿宋" w:eastAsia="仿宋" w:cs="Times New Roman"/>
                <w:kern w:val="0"/>
                <w:sz w:val="21"/>
                <w:szCs w:val="21"/>
              </w:rPr>
            </w:pPr>
            <w:r>
              <w:rPr>
                <w:rFonts w:hint="eastAsia" w:ascii="仿宋" w:hAnsi="仿宋" w:eastAsia="仿宋" w:cs="Times New Roman"/>
                <w:kern w:val="0"/>
                <w:sz w:val="21"/>
                <w:szCs w:val="21"/>
              </w:rPr>
              <w:t>查询救护车车辆运行状态、绑定状态信息；</w:t>
            </w:r>
          </w:p>
        </w:tc>
      </w:tr>
      <w:tr w14:paraId="665C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5192355">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6699F402">
            <w:pPr>
              <w:rPr>
                <w:rFonts w:ascii="仿宋" w:hAnsi="仿宋" w:eastAsia="仿宋" w:cs="Times New Roman"/>
                <w:kern w:val="0"/>
                <w:sz w:val="21"/>
                <w:szCs w:val="21"/>
              </w:rPr>
            </w:pPr>
            <w:r>
              <w:rPr>
                <w:rFonts w:hint="eastAsia" w:ascii="仿宋" w:hAnsi="仿宋" w:eastAsia="仿宋" w:cs="Times New Roman"/>
                <w:kern w:val="0"/>
                <w:sz w:val="21"/>
                <w:szCs w:val="21"/>
              </w:rPr>
              <w:t>救护车消毒记录查询</w:t>
            </w:r>
          </w:p>
        </w:tc>
        <w:tc>
          <w:tcPr>
            <w:tcW w:w="7371" w:type="dxa"/>
            <w:tcBorders>
              <w:top w:val="single" w:color="auto" w:sz="4" w:space="0"/>
              <w:left w:val="single" w:color="auto" w:sz="4" w:space="0"/>
              <w:bottom w:val="single" w:color="auto" w:sz="4" w:space="0"/>
              <w:right w:val="single" w:color="auto" w:sz="4" w:space="0"/>
            </w:tcBorders>
            <w:vAlign w:val="center"/>
          </w:tcPr>
          <w:p w14:paraId="7BE25FAB">
            <w:pPr>
              <w:rPr>
                <w:rFonts w:ascii="仿宋" w:hAnsi="仿宋" w:eastAsia="仿宋" w:cs="Times New Roman"/>
                <w:kern w:val="0"/>
                <w:sz w:val="21"/>
                <w:szCs w:val="21"/>
              </w:rPr>
            </w:pPr>
            <w:r>
              <w:rPr>
                <w:rFonts w:hint="eastAsia" w:ascii="仿宋" w:hAnsi="仿宋" w:eastAsia="仿宋" w:cs="Times New Roman"/>
                <w:kern w:val="0"/>
                <w:sz w:val="21"/>
                <w:szCs w:val="21"/>
              </w:rPr>
              <w:t>可查询救护车每次的消毒记录；</w:t>
            </w:r>
          </w:p>
        </w:tc>
      </w:tr>
      <w:tr w14:paraId="54B7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4FA797F0">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51DB4343">
            <w:pPr>
              <w:rPr>
                <w:rFonts w:ascii="仿宋" w:hAnsi="仿宋" w:eastAsia="仿宋" w:cs="Times New Roman"/>
                <w:kern w:val="0"/>
                <w:sz w:val="21"/>
                <w:szCs w:val="21"/>
              </w:rPr>
            </w:pPr>
            <w:r>
              <w:rPr>
                <w:rFonts w:hint="eastAsia" w:ascii="仿宋" w:hAnsi="仿宋" w:eastAsia="仿宋" w:cs="Times New Roman"/>
                <w:kern w:val="0"/>
                <w:sz w:val="21"/>
                <w:szCs w:val="21"/>
              </w:rPr>
              <w:t>消毒登记本</w:t>
            </w:r>
          </w:p>
        </w:tc>
        <w:tc>
          <w:tcPr>
            <w:tcW w:w="7371" w:type="dxa"/>
            <w:tcBorders>
              <w:top w:val="single" w:color="auto" w:sz="4" w:space="0"/>
              <w:left w:val="single" w:color="auto" w:sz="4" w:space="0"/>
              <w:bottom w:val="single" w:color="auto" w:sz="4" w:space="0"/>
              <w:right w:val="single" w:color="auto" w:sz="4" w:space="0"/>
            </w:tcBorders>
            <w:vAlign w:val="center"/>
          </w:tcPr>
          <w:p w14:paraId="141CC434">
            <w:pPr>
              <w:rPr>
                <w:rFonts w:ascii="仿宋" w:hAnsi="仿宋" w:eastAsia="仿宋" w:cs="Times New Roman"/>
                <w:kern w:val="0"/>
                <w:sz w:val="21"/>
                <w:szCs w:val="21"/>
              </w:rPr>
            </w:pPr>
            <w:r>
              <w:rPr>
                <w:rFonts w:hint="eastAsia" w:ascii="仿宋" w:hAnsi="仿宋" w:eastAsia="仿宋" w:cs="Times New Roman"/>
                <w:kern w:val="0"/>
                <w:sz w:val="21"/>
                <w:szCs w:val="21"/>
              </w:rPr>
              <w:t>可记录救护车每次的消毒记录；</w:t>
            </w:r>
          </w:p>
        </w:tc>
      </w:tr>
      <w:tr w14:paraId="5CBD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3CC66CD7">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8AEDC83">
            <w:pPr>
              <w:rPr>
                <w:rFonts w:ascii="仿宋" w:hAnsi="仿宋" w:eastAsia="仿宋" w:cs="Times New Roman"/>
                <w:kern w:val="0"/>
                <w:sz w:val="21"/>
                <w:szCs w:val="21"/>
              </w:rPr>
            </w:pPr>
            <w:r>
              <w:rPr>
                <w:rFonts w:hint="eastAsia" w:ascii="仿宋" w:hAnsi="仿宋" w:eastAsia="仿宋" w:cs="Times New Roman"/>
                <w:kern w:val="0"/>
                <w:sz w:val="21"/>
                <w:szCs w:val="21"/>
              </w:rPr>
              <w:t>救护车维修查询</w:t>
            </w:r>
          </w:p>
        </w:tc>
        <w:tc>
          <w:tcPr>
            <w:tcW w:w="7371" w:type="dxa"/>
            <w:tcBorders>
              <w:top w:val="single" w:color="auto" w:sz="4" w:space="0"/>
              <w:left w:val="single" w:color="auto" w:sz="4" w:space="0"/>
              <w:bottom w:val="single" w:color="auto" w:sz="4" w:space="0"/>
              <w:right w:val="single" w:color="auto" w:sz="4" w:space="0"/>
            </w:tcBorders>
            <w:vAlign w:val="center"/>
          </w:tcPr>
          <w:p w14:paraId="07B97EEA">
            <w:pPr>
              <w:rPr>
                <w:rFonts w:ascii="仿宋" w:hAnsi="仿宋" w:eastAsia="仿宋" w:cs="Times New Roman"/>
                <w:kern w:val="0"/>
                <w:sz w:val="21"/>
                <w:szCs w:val="21"/>
              </w:rPr>
            </w:pPr>
            <w:r>
              <w:rPr>
                <w:rFonts w:hint="eastAsia" w:ascii="仿宋" w:hAnsi="仿宋" w:eastAsia="仿宋" w:cs="Times New Roman"/>
                <w:kern w:val="0"/>
                <w:sz w:val="21"/>
                <w:szCs w:val="21"/>
              </w:rPr>
              <w:t>可查询救护车每次的维修记录；</w:t>
            </w:r>
          </w:p>
        </w:tc>
      </w:tr>
      <w:tr w14:paraId="0D79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0AD9118A">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0C634E46">
            <w:pPr>
              <w:rPr>
                <w:rFonts w:ascii="仿宋" w:hAnsi="仿宋" w:eastAsia="仿宋" w:cs="Times New Roman"/>
                <w:kern w:val="0"/>
                <w:sz w:val="21"/>
                <w:szCs w:val="21"/>
              </w:rPr>
            </w:pPr>
            <w:r>
              <w:rPr>
                <w:rFonts w:hint="eastAsia" w:ascii="仿宋" w:hAnsi="仿宋" w:eastAsia="仿宋" w:cs="Times New Roman"/>
                <w:kern w:val="0"/>
                <w:sz w:val="21"/>
                <w:szCs w:val="21"/>
              </w:rPr>
              <w:t>维修登记本</w:t>
            </w:r>
          </w:p>
        </w:tc>
        <w:tc>
          <w:tcPr>
            <w:tcW w:w="7371" w:type="dxa"/>
            <w:tcBorders>
              <w:top w:val="single" w:color="auto" w:sz="4" w:space="0"/>
              <w:left w:val="single" w:color="auto" w:sz="4" w:space="0"/>
              <w:bottom w:val="single" w:color="auto" w:sz="4" w:space="0"/>
              <w:right w:val="single" w:color="auto" w:sz="4" w:space="0"/>
            </w:tcBorders>
            <w:vAlign w:val="center"/>
          </w:tcPr>
          <w:p w14:paraId="3F1248E2">
            <w:pPr>
              <w:rPr>
                <w:rFonts w:ascii="仿宋" w:hAnsi="仿宋" w:eastAsia="仿宋" w:cs="Times New Roman"/>
                <w:kern w:val="0"/>
                <w:sz w:val="21"/>
                <w:szCs w:val="21"/>
              </w:rPr>
            </w:pPr>
            <w:r>
              <w:rPr>
                <w:rFonts w:hint="eastAsia" w:ascii="仿宋" w:hAnsi="仿宋" w:eastAsia="仿宋" w:cs="Times New Roman"/>
                <w:kern w:val="0"/>
                <w:sz w:val="21"/>
                <w:szCs w:val="21"/>
              </w:rPr>
              <w:t>可记录救护车每次的维护记录；</w:t>
            </w:r>
          </w:p>
        </w:tc>
      </w:tr>
      <w:tr w14:paraId="53AA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66DDA33E">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38AFEB35">
            <w:pPr>
              <w:rPr>
                <w:rFonts w:ascii="仿宋" w:hAnsi="仿宋" w:eastAsia="仿宋" w:cs="Times New Roman"/>
                <w:kern w:val="0"/>
                <w:sz w:val="21"/>
                <w:szCs w:val="21"/>
              </w:rPr>
            </w:pPr>
            <w:r>
              <w:rPr>
                <w:rFonts w:hint="eastAsia" w:ascii="仿宋" w:hAnsi="仿宋" w:eastAsia="仿宋" w:cs="Times New Roman"/>
                <w:kern w:val="0"/>
                <w:sz w:val="21"/>
                <w:szCs w:val="21"/>
              </w:rPr>
              <w:t>常用字典库</w:t>
            </w:r>
          </w:p>
        </w:tc>
        <w:tc>
          <w:tcPr>
            <w:tcW w:w="7371" w:type="dxa"/>
            <w:tcBorders>
              <w:top w:val="single" w:color="auto" w:sz="4" w:space="0"/>
              <w:left w:val="single" w:color="auto" w:sz="4" w:space="0"/>
              <w:bottom w:val="single" w:color="auto" w:sz="4" w:space="0"/>
              <w:right w:val="single" w:color="auto" w:sz="4" w:space="0"/>
            </w:tcBorders>
            <w:vAlign w:val="center"/>
          </w:tcPr>
          <w:p w14:paraId="436D773D">
            <w:pPr>
              <w:rPr>
                <w:rFonts w:ascii="仿宋" w:hAnsi="仿宋" w:eastAsia="仿宋" w:cs="Times New Roman"/>
                <w:kern w:val="0"/>
                <w:sz w:val="21"/>
                <w:szCs w:val="21"/>
              </w:rPr>
            </w:pPr>
            <w:r>
              <w:rPr>
                <w:rFonts w:hint="eastAsia" w:ascii="仿宋" w:hAnsi="仿宋" w:eastAsia="仿宋" w:cs="Times New Roman"/>
                <w:kern w:val="0"/>
                <w:sz w:val="21"/>
                <w:szCs w:val="21"/>
              </w:rPr>
              <w:t>急救措施字典库：提供急救措施字典库维护功能；急救药物字典库：提供急救药物字典库，包括药物、用量用法等维护功能；药物模板维护：提供药物模板维护功能；</w:t>
            </w:r>
          </w:p>
        </w:tc>
      </w:tr>
      <w:tr w14:paraId="3BED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5E470ECA">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3760D67">
            <w:pPr>
              <w:rPr>
                <w:rFonts w:ascii="仿宋" w:hAnsi="仿宋" w:eastAsia="仿宋" w:cs="Times New Roman"/>
                <w:kern w:val="0"/>
                <w:sz w:val="21"/>
                <w:szCs w:val="21"/>
              </w:rPr>
            </w:pPr>
            <w:r>
              <w:rPr>
                <w:rFonts w:hint="eastAsia" w:ascii="仿宋" w:hAnsi="仿宋" w:eastAsia="仿宋" w:cs="Times New Roman"/>
                <w:kern w:val="0"/>
                <w:sz w:val="21"/>
                <w:szCs w:val="21"/>
              </w:rPr>
              <w:t>患者信息可视化大屏</w:t>
            </w:r>
          </w:p>
        </w:tc>
        <w:tc>
          <w:tcPr>
            <w:tcW w:w="7371" w:type="dxa"/>
            <w:tcBorders>
              <w:top w:val="single" w:color="auto" w:sz="4" w:space="0"/>
              <w:left w:val="single" w:color="auto" w:sz="4" w:space="0"/>
              <w:bottom w:val="single" w:color="auto" w:sz="4" w:space="0"/>
              <w:right w:val="single" w:color="auto" w:sz="4" w:space="0"/>
            </w:tcBorders>
            <w:vAlign w:val="center"/>
          </w:tcPr>
          <w:p w14:paraId="5D57FC39">
            <w:pPr>
              <w:rPr>
                <w:rFonts w:ascii="仿宋" w:hAnsi="仿宋" w:eastAsia="仿宋" w:cs="Times New Roman"/>
                <w:kern w:val="0"/>
                <w:sz w:val="21"/>
                <w:szCs w:val="21"/>
              </w:rPr>
            </w:pPr>
            <w:r>
              <w:rPr>
                <w:rFonts w:hint="eastAsia" w:ascii="仿宋" w:hAnsi="仿宋" w:eastAsia="仿宋" w:cs="Times New Roman"/>
                <w:kern w:val="0"/>
                <w:sz w:val="21"/>
                <w:szCs w:val="21"/>
              </w:rPr>
              <w:t>可获取从所有救护车发来的实时病人监护数据以及急救病人信息，预计最先达到的一辆或几辆救护车车上病人情况，以多画面的形式集中显示在大屏上；</w:t>
            </w:r>
          </w:p>
        </w:tc>
      </w:tr>
      <w:tr w14:paraId="5638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925" w:type="dxa"/>
            <w:vMerge w:val="continue"/>
            <w:tcBorders>
              <w:top w:val="single" w:color="auto" w:sz="4" w:space="0"/>
              <w:left w:val="single" w:color="auto" w:sz="4" w:space="0"/>
              <w:bottom w:val="single" w:color="auto" w:sz="4" w:space="0"/>
              <w:right w:val="single" w:color="auto" w:sz="4" w:space="0"/>
            </w:tcBorders>
            <w:vAlign w:val="center"/>
          </w:tcPr>
          <w:p w14:paraId="784E90F3">
            <w:pPr>
              <w:rPr>
                <w:rFonts w:ascii="仿宋" w:hAnsi="仿宋" w:eastAsia="仿宋" w:cs="Times New Roman"/>
                <w:kern w:val="0"/>
                <w:sz w:val="21"/>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2D71A607">
            <w:pPr>
              <w:rPr>
                <w:rFonts w:ascii="仿宋" w:hAnsi="仿宋" w:eastAsia="仿宋" w:cs="Times New Roman"/>
                <w:kern w:val="0"/>
                <w:sz w:val="21"/>
                <w:szCs w:val="21"/>
              </w:rPr>
            </w:pPr>
            <w:r>
              <w:rPr>
                <w:rFonts w:hint="eastAsia" w:ascii="仿宋" w:hAnsi="仿宋" w:eastAsia="仿宋" w:cs="Times New Roman"/>
                <w:kern w:val="0"/>
                <w:sz w:val="21"/>
                <w:szCs w:val="21"/>
              </w:rPr>
              <w:t>救护车GIS大屏</w:t>
            </w:r>
          </w:p>
        </w:tc>
        <w:tc>
          <w:tcPr>
            <w:tcW w:w="7371" w:type="dxa"/>
            <w:tcBorders>
              <w:top w:val="single" w:color="auto" w:sz="4" w:space="0"/>
              <w:left w:val="single" w:color="auto" w:sz="4" w:space="0"/>
              <w:bottom w:val="single" w:color="auto" w:sz="4" w:space="0"/>
              <w:right w:val="single" w:color="auto" w:sz="4" w:space="0"/>
            </w:tcBorders>
            <w:vAlign w:val="center"/>
          </w:tcPr>
          <w:p w14:paraId="08FD0190">
            <w:pPr>
              <w:rPr>
                <w:rFonts w:ascii="仿宋" w:hAnsi="仿宋" w:eastAsia="仿宋" w:cs="Times New Roman"/>
                <w:kern w:val="0"/>
                <w:sz w:val="21"/>
                <w:szCs w:val="21"/>
              </w:rPr>
            </w:pPr>
            <w:r>
              <w:rPr>
                <w:rFonts w:hint="eastAsia" w:ascii="仿宋" w:hAnsi="仿宋" w:eastAsia="仿宋" w:cs="Times New Roman"/>
                <w:kern w:val="0"/>
                <w:sz w:val="21"/>
                <w:szCs w:val="21"/>
              </w:rPr>
              <w:t>通过GIS系统实时查看急救车辆位置、急救车辆状态。</w:t>
            </w:r>
          </w:p>
        </w:tc>
      </w:tr>
    </w:tbl>
    <w:p w14:paraId="4550F201">
      <w:pPr>
        <w:pStyle w:val="3"/>
        <w:keepNext w:val="0"/>
        <w:keepLines w:val="0"/>
        <w:widowControl/>
        <w:numPr>
          <w:ilvl w:val="0"/>
          <w:numId w:val="1"/>
        </w:numPr>
        <w:suppressLineNumbers w:val="0"/>
        <w:shd w:val="clear" w:fill="FFFFFF"/>
        <w:spacing w:line="23" w:lineRule="atLeast"/>
        <w:ind w:left="0" w:firstLine="0"/>
        <w:jc w:val="left"/>
        <w:rPr>
          <w:rFonts w:hint="default" w:ascii="Segoe UI" w:hAnsi="Segoe UI" w:eastAsia="Segoe UI" w:cs="Segoe UI"/>
          <w:i w:val="0"/>
          <w:iCs w:val="0"/>
          <w:caps w:val="0"/>
          <w:color w:val="404040"/>
          <w:spacing w:val="0"/>
          <w:shd w:val="clear" w:fill="FFFFFF"/>
        </w:rPr>
      </w:pPr>
      <w:r>
        <w:rPr>
          <w:rFonts w:hint="eastAsia" w:ascii="Segoe UI" w:hAnsi="Segoe UI" w:eastAsia="Segoe UI" w:cs="Segoe UI"/>
          <w:i w:val="0"/>
          <w:iCs w:val="0"/>
          <w:caps w:val="0"/>
          <w:color w:val="404040"/>
          <w:spacing w:val="0"/>
          <w:shd w:val="clear" w:fill="FFFFFF"/>
        </w:rPr>
        <w:t>绿色通道管理信息系统平台</w:t>
      </w:r>
    </w:p>
    <w:tbl>
      <w:tblPr>
        <w:tblStyle w:val="6"/>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8041"/>
      </w:tblGrid>
      <w:tr w14:paraId="689C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B49592C">
            <w:pPr>
              <w:spacing w:line="360" w:lineRule="auto"/>
              <w:jc w:val="center"/>
              <w:rPr>
                <w:rFonts w:ascii="仿宋" w:hAnsi="仿宋" w:eastAsia="仿宋"/>
                <w:b/>
                <w:szCs w:val="21"/>
              </w:rPr>
            </w:pPr>
            <w:r>
              <w:rPr>
                <w:rFonts w:hint="eastAsia" w:ascii="仿宋" w:hAnsi="仿宋" w:eastAsia="仿宋"/>
                <w:b/>
                <w:szCs w:val="21"/>
              </w:rPr>
              <w:t>功能模块</w:t>
            </w:r>
          </w:p>
        </w:tc>
        <w:tc>
          <w:tcPr>
            <w:tcW w:w="8041" w:type="dxa"/>
            <w:tcBorders>
              <w:top w:val="single" w:color="auto" w:sz="4" w:space="0"/>
              <w:left w:val="single" w:color="auto" w:sz="4" w:space="0"/>
              <w:bottom w:val="single" w:color="auto" w:sz="4" w:space="0"/>
              <w:right w:val="single" w:color="auto" w:sz="4" w:space="0"/>
            </w:tcBorders>
            <w:vAlign w:val="center"/>
          </w:tcPr>
          <w:p w14:paraId="1C51B051">
            <w:pPr>
              <w:jc w:val="center"/>
              <w:rPr>
                <w:rFonts w:ascii="仿宋" w:hAnsi="仿宋" w:eastAsia="仿宋"/>
                <w:b/>
                <w:szCs w:val="21"/>
              </w:rPr>
            </w:pPr>
            <w:r>
              <w:rPr>
                <w:rFonts w:hint="eastAsia" w:ascii="仿宋" w:hAnsi="仿宋" w:eastAsia="仿宋"/>
                <w:b/>
                <w:szCs w:val="21"/>
              </w:rPr>
              <w:t>功能描述</w:t>
            </w:r>
          </w:p>
        </w:tc>
      </w:tr>
      <w:tr w14:paraId="57CC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C8FFEE9">
            <w:pPr>
              <w:spacing w:line="360" w:lineRule="auto"/>
              <w:rPr>
                <w:rFonts w:ascii="仿宋" w:hAnsi="仿宋" w:eastAsia="仿宋"/>
                <w:szCs w:val="21"/>
              </w:rPr>
            </w:pPr>
            <w:r>
              <w:rPr>
                <w:rFonts w:hint="eastAsia" w:ascii="仿宋" w:hAnsi="仿宋" w:eastAsia="仿宋"/>
                <w:szCs w:val="21"/>
              </w:rPr>
              <w:t>急诊绿通患者定位和时间采集系统</w:t>
            </w:r>
          </w:p>
        </w:tc>
        <w:tc>
          <w:tcPr>
            <w:tcW w:w="8041" w:type="dxa"/>
            <w:tcBorders>
              <w:top w:val="single" w:color="auto" w:sz="4" w:space="0"/>
              <w:left w:val="single" w:color="auto" w:sz="4" w:space="0"/>
              <w:bottom w:val="single" w:color="auto" w:sz="4" w:space="0"/>
              <w:right w:val="single" w:color="auto" w:sz="4" w:space="0"/>
            </w:tcBorders>
            <w:vAlign w:val="center"/>
          </w:tcPr>
          <w:p w14:paraId="0AE1EB15">
            <w:pPr>
              <w:jc w:val="left"/>
              <w:rPr>
                <w:rFonts w:ascii="仿宋" w:hAnsi="仿宋" w:eastAsia="仿宋"/>
                <w:szCs w:val="21"/>
              </w:rPr>
            </w:pPr>
            <w:r>
              <w:rPr>
                <w:rFonts w:hint="eastAsia" w:ascii="仿宋" w:hAnsi="仿宋" w:eastAsia="仿宋"/>
                <w:szCs w:val="21"/>
              </w:rPr>
              <w:t>1、登记表（护士），护士登记表可按分诊类别和时段对关键节点的时间数据进行筛选，可单独针对护士生成精细化的时间管理报表。提供系统功能截图。</w:t>
            </w:r>
          </w:p>
          <w:p w14:paraId="502A978D">
            <w:pPr>
              <w:jc w:val="left"/>
              <w:rPr>
                <w:rFonts w:ascii="仿宋" w:hAnsi="仿宋" w:eastAsia="仿宋"/>
                <w:szCs w:val="21"/>
              </w:rPr>
            </w:pPr>
            <w:r>
              <w:rPr>
                <w:rFonts w:hint="eastAsia" w:ascii="仿宋" w:hAnsi="仿宋" w:eastAsia="仿宋"/>
                <w:szCs w:val="21"/>
              </w:rPr>
              <w:t>2、耗时表（医生），医生通过耗时表可查看急救患者救治达标率统计分析、超时事件统计分析、患者接诊轨迹分析以及患者NIHSS评分统计。提供系统功能截图。</w:t>
            </w:r>
          </w:p>
          <w:p w14:paraId="729E8ECE">
            <w:pPr>
              <w:jc w:val="left"/>
              <w:rPr>
                <w:rFonts w:ascii="仿宋" w:hAnsi="仿宋" w:eastAsia="仿宋"/>
                <w:szCs w:val="21"/>
              </w:rPr>
            </w:pPr>
            <w:r>
              <w:rPr>
                <w:rFonts w:hint="eastAsia" w:ascii="仿宋" w:hAnsi="仿宋" w:eastAsia="仿宋"/>
                <w:szCs w:val="21"/>
              </w:rPr>
              <w:t>3、患者NIHSS评分，可现场客观记录患者NIHSS评分结果。提供系统功能截图。</w:t>
            </w:r>
          </w:p>
          <w:p w14:paraId="657CE7A3">
            <w:pPr>
              <w:jc w:val="left"/>
              <w:rPr>
                <w:rFonts w:ascii="仿宋" w:hAnsi="仿宋" w:eastAsia="仿宋"/>
                <w:szCs w:val="21"/>
              </w:rPr>
            </w:pPr>
            <w:r>
              <w:rPr>
                <w:rFonts w:hint="eastAsia" w:ascii="仿宋" w:hAnsi="仿宋" w:eastAsia="仿宋"/>
                <w:szCs w:val="21"/>
              </w:rPr>
              <w:t>4、各节点平均耗时统计，支持按不同的分诊治疗流程综合统计分析急救患者接诊流程，并展现各节点之间平均耗时，从而反应出当前时段内的急救患者救治时间与综合诊治水平，有针对性的优化整个接诊流程。提供系统功能截图。业务系统软件需提供投标人或生产厂商所拥有的实用新型专利证书</w:t>
            </w:r>
          </w:p>
          <w:p w14:paraId="009D3F0A">
            <w:pPr>
              <w:jc w:val="left"/>
              <w:rPr>
                <w:rFonts w:ascii="仿宋" w:hAnsi="仿宋" w:eastAsia="仿宋"/>
                <w:szCs w:val="21"/>
              </w:rPr>
            </w:pPr>
            <w:r>
              <w:rPr>
                <w:rFonts w:hint="eastAsia" w:ascii="仿宋" w:hAnsi="仿宋" w:eastAsia="仿宋"/>
                <w:szCs w:val="21"/>
              </w:rPr>
              <w:t>5、接诊路线分析，系统支持通过热力图以特殊高亮的形式对急救患者接诊实际路线进行汇总分析，并直观地将在主线和不在主线的急救患者分布数据以不同颜色区块进行呈现，管理者可针对性优化接诊路线，提升接诊效率。提供系统功能截图。</w:t>
            </w:r>
          </w:p>
          <w:p w14:paraId="41E68328">
            <w:pPr>
              <w:jc w:val="left"/>
              <w:rPr>
                <w:rFonts w:ascii="仿宋" w:hAnsi="仿宋" w:eastAsia="仿宋"/>
                <w:szCs w:val="21"/>
              </w:rPr>
            </w:pPr>
            <w:r>
              <w:rPr>
                <w:rFonts w:hint="eastAsia" w:ascii="仿宋" w:hAnsi="仿宋" w:eastAsia="仿宋"/>
                <w:szCs w:val="21"/>
              </w:rPr>
              <w:t>6、系统支持三大中心同时使用，支持创伤中心急诊绿色通道患者定个位和时间采集，系统即可满足卒中、胸痛、创伤等急救中心的流程定制。此次先实现创伤中心的使用需求，后续开展其它急救中心流程时，软件系统不得收费。系统可生成表格、图形数据，基于3D室内高精地图，可视化展现患者就诊过程的完整定位轨迹，在每个节点的耗时；进一步可分析各节点、各接诊路线的总体及平均耗时数据等。系统中的每一个诊疗节点皆可在平台中按需配置，并依照每家医院不同的分诊治疗流程生成多套精美的流程。提供系统功能截图。</w:t>
            </w:r>
          </w:p>
          <w:p w14:paraId="13919EA8">
            <w:pPr>
              <w:jc w:val="left"/>
              <w:rPr>
                <w:rFonts w:ascii="仿宋" w:hAnsi="仿宋" w:eastAsia="仿宋"/>
                <w:szCs w:val="21"/>
              </w:rPr>
            </w:pPr>
            <w:r>
              <w:rPr>
                <w:rFonts w:hint="eastAsia" w:ascii="仿宋" w:hAnsi="仿宋" w:eastAsia="仿宋"/>
                <w:szCs w:val="21"/>
              </w:rPr>
              <w:t>7、急救流程路径节点自定义，系统可以根据医院的要求对急救流程路径节点进行方便地自定义，满足国家及行业管理要求。</w:t>
            </w:r>
            <w:r>
              <w:rPr>
                <w:rFonts w:hint="eastAsia" w:ascii="仿宋" w:hAnsi="仿宋" w:eastAsia="仿宋"/>
                <w:kern w:val="0"/>
                <w:szCs w:val="21"/>
              </w:rPr>
              <w:t>支持</w:t>
            </w:r>
            <w:r>
              <w:rPr>
                <w:rFonts w:hint="eastAsia" w:ascii="仿宋" w:hAnsi="仿宋" w:eastAsia="仿宋"/>
                <w:szCs w:val="21"/>
              </w:rPr>
              <w:t>病历直报，提供系统功能截图；</w:t>
            </w:r>
          </w:p>
          <w:p w14:paraId="7029FE91">
            <w:pPr>
              <w:jc w:val="left"/>
              <w:rPr>
                <w:rFonts w:ascii="仿宋" w:hAnsi="仿宋" w:eastAsia="仿宋"/>
                <w:szCs w:val="21"/>
              </w:rPr>
            </w:pPr>
            <w:r>
              <w:rPr>
                <w:rFonts w:hint="eastAsia" w:ascii="仿宋" w:hAnsi="仿宋" w:eastAsia="仿宋"/>
                <w:szCs w:val="21"/>
              </w:rPr>
              <w:t>系统支持与医院现有的急诊系统、创伤中心系统等系统进行对接，提供相应的对接方案及系统截图，及相应系统的兼容性测试报告。</w:t>
            </w:r>
          </w:p>
          <w:p w14:paraId="1B9308FD">
            <w:pPr>
              <w:rPr>
                <w:rFonts w:ascii="仿宋" w:hAnsi="仿宋" w:eastAsia="仿宋"/>
                <w:szCs w:val="21"/>
              </w:rPr>
            </w:pPr>
            <w:r>
              <w:rPr>
                <w:rFonts w:hint="eastAsia" w:ascii="仿宋" w:hAnsi="仿宋" w:eastAsia="仿宋"/>
                <w:szCs w:val="21"/>
              </w:rPr>
              <w:t>8、患者接诊轨迹可视化，支持以医院关键地点时间轴为主线，在3</w:t>
            </w:r>
            <w:r>
              <w:rPr>
                <w:rFonts w:ascii="仿宋" w:hAnsi="仿宋" w:eastAsia="仿宋"/>
                <w:szCs w:val="21"/>
              </w:rPr>
              <w:t>D</w:t>
            </w:r>
            <w:r>
              <w:rPr>
                <w:rFonts w:hint="eastAsia" w:ascii="仿宋" w:hAnsi="仿宋" w:eastAsia="仿宋"/>
                <w:szCs w:val="21"/>
              </w:rPr>
              <w:t>高精地图上清晰展示每个患者的历史轨迹，通过对患者历史轨迹的具体分析，可获得患者在每个业务节点的实际耗时。提供系统功能截图。</w:t>
            </w:r>
          </w:p>
        </w:tc>
      </w:tr>
    </w:tbl>
    <w:p w14:paraId="25C9C01E">
      <w:pPr>
        <w:pStyle w:val="3"/>
        <w:keepNext w:val="0"/>
        <w:keepLines w:val="0"/>
        <w:widowControl/>
        <w:numPr>
          <w:ilvl w:val="0"/>
          <w:numId w:val="1"/>
        </w:numPr>
        <w:suppressLineNumbers w:val="0"/>
        <w:shd w:val="clear" w:fill="FFFFFF"/>
        <w:spacing w:line="23" w:lineRule="atLeast"/>
        <w:ind w:left="0" w:firstLine="0"/>
        <w:jc w:val="left"/>
        <w:rPr>
          <w:rFonts w:hint="eastAsia" w:ascii="Segoe UI" w:hAnsi="Segoe UI" w:eastAsia="Segoe UI" w:cs="Segoe UI"/>
          <w:i w:val="0"/>
          <w:iCs w:val="0"/>
          <w:caps w:val="0"/>
          <w:color w:val="404040"/>
          <w:spacing w:val="0"/>
          <w:shd w:val="clear" w:fill="FFFFFF"/>
        </w:rPr>
      </w:pPr>
      <w:r>
        <w:rPr>
          <w:rFonts w:hint="eastAsia" w:ascii="Segoe UI" w:hAnsi="Segoe UI" w:eastAsia="Segoe UI" w:cs="Segoe UI"/>
          <w:i w:val="0"/>
          <w:iCs w:val="0"/>
          <w:caps w:val="0"/>
          <w:color w:val="404040"/>
          <w:spacing w:val="0"/>
          <w:shd w:val="clear" w:fill="FFFFFF"/>
        </w:rPr>
        <w:t>专科中心系统软件功能</w:t>
      </w:r>
    </w:p>
    <w:tbl>
      <w:tblPr>
        <w:tblStyle w:val="6"/>
        <w:tblW w:w="6293" w:type="pct"/>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173"/>
        <w:gridCol w:w="7564"/>
      </w:tblGrid>
      <w:tr w14:paraId="5EA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5A2BD0BE">
            <w:pPr>
              <w:jc w:val="center"/>
              <w:rPr>
                <w:rFonts w:ascii="仿宋" w:hAnsi="仿宋" w:eastAsia="仿宋"/>
                <w:b/>
                <w:szCs w:val="21"/>
              </w:rPr>
            </w:pPr>
            <w:r>
              <w:rPr>
                <w:rFonts w:hint="eastAsia" w:ascii="仿宋" w:hAnsi="仿宋" w:eastAsia="仿宋"/>
                <w:b/>
                <w:szCs w:val="21"/>
              </w:rPr>
              <w:t>模块</w:t>
            </w:r>
          </w:p>
        </w:tc>
        <w:tc>
          <w:tcPr>
            <w:tcW w:w="1013" w:type="pct"/>
            <w:vAlign w:val="center"/>
          </w:tcPr>
          <w:p w14:paraId="44A19CF6">
            <w:pPr>
              <w:jc w:val="center"/>
              <w:rPr>
                <w:rFonts w:ascii="仿宋" w:hAnsi="仿宋" w:eastAsia="仿宋"/>
                <w:b/>
                <w:szCs w:val="21"/>
              </w:rPr>
            </w:pPr>
            <w:r>
              <w:rPr>
                <w:rFonts w:hint="eastAsia" w:ascii="仿宋" w:hAnsi="仿宋" w:eastAsia="仿宋"/>
                <w:b/>
                <w:szCs w:val="21"/>
              </w:rPr>
              <w:t>功能</w:t>
            </w:r>
          </w:p>
        </w:tc>
        <w:tc>
          <w:tcPr>
            <w:tcW w:w="3525" w:type="pct"/>
            <w:vAlign w:val="center"/>
          </w:tcPr>
          <w:p w14:paraId="0ED6B99D">
            <w:pPr>
              <w:jc w:val="center"/>
              <w:rPr>
                <w:rFonts w:ascii="仿宋" w:hAnsi="仿宋" w:eastAsia="仿宋"/>
                <w:b/>
                <w:szCs w:val="21"/>
              </w:rPr>
            </w:pPr>
            <w:r>
              <w:rPr>
                <w:rFonts w:hint="eastAsia" w:ascii="仿宋" w:hAnsi="仿宋" w:eastAsia="仿宋"/>
                <w:b/>
                <w:szCs w:val="21"/>
              </w:rPr>
              <w:t>功能描述</w:t>
            </w:r>
          </w:p>
        </w:tc>
      </w:tr>
      <w:tr w14:paraId="09F8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restart"/>
            <w:vAlign w:val="center"/>
          </w:tcPr>
          <w:p w14:paraId="5FEA4421">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胸痛中心</w:t>
            </w:r>
          </w:p>
        </w:tc>
        <w:tc>
          <w:tcPr>
            <w:tcW w:w="1013" w:type="pct"/>
            <w:vAlign w:val="center"/>
          </w:tcPr>
          <w:p w14:paraId="063905C3">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胸痛中心首页</w:t>
            </w:r>
          </w:p>
        </w:tc>
        <w:tc>
          <w:tcPr>
            <w:tcW w:w="3525" w:type="pct"/>
            <w:vAlign w:val="center"/>
          </w:tcPr>
          <w:p w14:paraId="7966FAC3">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胸痛中心首页主要功能包括：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（1）胸痛数据统计：系统支持按今日/本周/本月等维度统计胸痛患者人数。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（2）快捷流程：提供急救患者快速定位到急救信息、胸痛诊疗、介入室、患者转归、数据上报等诊疗阶段。</w:t>
            </w:r>
          </w:p>
        </w:tc>
      </w:tr>
      <w:tr w14:paraId="279B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1B499B43">
            <w:pPr>
              <w:widowControl/>
              <w:jc w:val="left"/>
              <w:rPr>
                <w:rFonts w:ascii="仿宋" w:hAnsi="仿宋" w:eastAsia="仿宋" w:cs="宋体"/>
                <w:color w:val="000000"/>
                <w:kern w:val="0"/>
                <w:szCs w:val="21"/>
              </w:rPr>
            </w:pPr>
          </w:p>
        </w:tc>
        <w:tc>
          <w:tcPr>
            <w:tcW w:w="1013" w:type="pct"/>
            <w:vAlign w:val="center"/>
          </w:tcPr>
          <w:p w14:paraId="16232E6B">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胸痛启动</w:t>
            </w:r>
          </w:p>
        </w:tc>
        <w:tc>
          <w:tcPr>
            <w:tcW w:w="3525" w:type="pct"/>
            <w:vAlign w:val="center"/>
          </w:tcPr>
          <w:p w14:paraId="2911435B">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系统提供胸痛启动功能，包括：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（1）多场景启动：提供在院前、急诊、病房等场景快速启动患者胸痛急救流程。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（2）启动绿道：启动胸痛急救流程时，针对急危重患者可一键开通绿色通道。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（3）胸痛建档：提供胸痛患者建档功能，可记录胸痛患者建档信息，包括：患者基本信息、发病时间、来院方式等关键信息。</w:t>
            </w:r>
          </w:p>
        </w:tc>
      </w:tr>
      <w:tr w14:paraId="1681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3E57DDFD">
            <w:pPr>
              <w:widowControl/>
              <w:jc w:val="left"/>
              <w:rPr>
                <w:rFonts w:ascii="仿宋" w:hAnsi="仿宋" w:eastAsia="仿宋" w:cs="宋体"/>
                <w:color w:val="000000"/>
                <w:kern w:val="0"/>
                <w:szCs w:val="21"/>
              </w:rPr>
            </w:pPr>
          </w:p>
        </w:tc>
        <w:tc>
          <w:tcPr>
            <w:tcW w:w="1013" w:type="pct"/>
            <w:vAlign w:val="center"/>
          </w:tcPr>
          <w:p w14:paraId="0115C1E3">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胸痛数据集成</w:t>
            </w:r>
          </w:p>
        </w:tc>
        <w:tc>
          <w:tcPr>
            <w:tcW w:w="3525" w:type="pct"/>
            <w:vAlign w:val="center"/>
          </w:tcPr>
          <w:p w14:paraId="430793F5">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胸痛数据集成主要包括：</w:t>
            </w:r>
          </w:p>
          <w:p w14:paraId="0CF0B780">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（1）诊疗数据集成：系统支持与HIS、住院系统、心电平台、LIS、PACS系统对接，获取胸痛患者急救过程中在中产生的所有诊疗文书或报告信息，抽取关键节点数据。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（2）监测设备集成：对接POCT、监护仪、心电图机设备，可获取患者的POCT检测结果、心电图与采集时间、生命体征信息等。</w:t>
            </w:r>
          </w:p>
        </w:tc>
      </w:tr>
      <w:tr w14:paraId="4CD8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36CCEED8">
            <w:pPr>
              <w:widowControl/>
              <w:jc w:val="left"/>
              <w:rPr>
                <w:rFonts w:ascii="仿宋" w:hAnsi="仿宋" w:eastAsia="仿宋" w:cs="宋体"/>
                <w:color w:val="000000"/>
                <w:kern w:val="0"/>
                <w:szCs w:val="21"/>
              </w:rPr>
            </w:pPr>
          </w:p>
        </w:tc>
        <w:tc>
          <w:tcPr>
            <w:tcW w:w="1013" w:type="pct"/>
            <w:vAlign w:val="center"/>
          </w:tcPr>
          <w:p w14:paraId="1B5F10C6">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胸痛急救</w:t>
            </w:r>
          </w:p>
        </w:tc>
        <w:tc>
          <w:tcPr>
            <w:tcW w:w="3525" w:type="pct"/>
            <w:vAlign w:val="center"/>
          </w:tcPr>
          <w:p w14:paraId="626DE87C">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胸痛急救主要功能包括：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（1）胸痛病历信息：按照国家胸痛中心要求，胸痛病历支持GRACE、GCS等专业胸痛医学评分。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（2）数据监控：系统支持实时采集并查看胸痛患者的检验检查报告，心电图报告，POCT检测结果，体征检测数据，移动轨迹采集实时数据。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（3）患者360：系统支持对接医院集成平台患者360视图，可查看患者360。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（4）胸痛随访：系统可查看和添加患者的随访记录。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（5）转诊（转出）：可通过填写胸痛患者转诊登记表将患者进行向上转诊或向下转诊。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（6）实时时间轴：系统可自动生成胸痛急救时间轴，并自动计算与上一时间节点的时长。</w:t>
            </w:r>
          </w:p>
        </w:tc>
      </w:tr>
      <w:tr w14:paraId="001E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401699DC">
            <w:pPr>
              <w:widowControl/>
              <w:jc w:val="left"/>
              <w:rPr>
                <w:rFonts w:ascii="仿宋" w:hAnsi="仿宋" w:eastAsia="仿宋" w:cs="宋体"/>
                <w:color w:val="000000"/>
                <w:kern w:val="0"/>
                <w:szCs w:val="21"/>
              </w:rPr>
            </w:pPr>
          </w:p>
        </w:tc>
        <w:tc>
          <w:tcPr>
            <w:tcW w:w="1013" w:type="pct"/>
            <w:vAlign w:val="center"/>
          </w:tcPr>
          <w:p w14:paraId="4BAD9AF4">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胸痛病历</w:t>
            </w:r>
          </w:p>
        </w:tc>
        <w:tc>
          <w:tcPr>
            <w:tcW w:w="3525" w:type="pct"/>
            <w:vAlign w:val="center"/>
          </w:tcPr>
          <w:p w14:paraId="101D0DE9">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胸痛病历主要功能包括：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（1）病历数据同步：系统可实时监控并获取病历中自动采集的数据，如：院前时间点、检验检查时间、轨迹时间点等等。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（2）病历完整度计算：系统可根据病历填写的情况实时计算胸痛病历的完整度。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（3）病历打印：系统提供胸痛病历打印功能。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（4）病历提交审核：系统支持胸痛病历提交审核，相关人员审核通过后则可上报至国家胸痛平台。</w:t>
            </w:r>
          </w:p>
        </w:tc>
      </w:tr>
      <w:tr w14:paraId="76B1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6D4E73BF">
            <w:pPr>
              <w:widowControl/>
              <w:jc w:val="left"/>
              <w:rPr>
                <w:rFonts w:ascii="仿宋" w:hAnsi="仿宋" w:eastAsia="仿宋" w:cs="宋体"/>
                <w:color w:val="000000"/>
                <w:kern w:val="0"/>
                <w:szCs w:val="21"/>
              </w:rPr>
            </w:pPr>
          </w:p>
        </w:tc>
        <w:tc>
          <w:tcPr>
            <w:tcW w:w="1013" w:type="pct"/>
            <w:vAlign w:val="center"/>
          </w:tcPr>
          <w:p w14:paraId="63A09567">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胸痛数据上报</w:t>
            </w:r>
          </w:p>
        </w:tc>
        <w:tc>
          <w:tcPr>
            <w:tcW w:w="3525" w:type="pct"/>
            <w:vAlign w:val="center"/>
          </w:tcPr>
          <w:p w14:paraId="7C821E85">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系统可</w:t>
            </w:r>
            <w:r>
              <w:rPr>
                <w:rFonts w:hint="eastAsia" w:ascii="仿宋" w:hAnsi="仿宋" w:eastAsia="仿宋" w:cs="宋体"/>
                <w:color w:val="000000"/>
                <w:kern w:val="0"/>
                <w:szCs w:val="21"/>
                <w:lang w:val="en-US" w:eastAsia="zh-CN"/>
              </w:rPr>
              <w:t>对接</w:t>
            </w:r>
            <w:r>
              <w:rPr>
                <w:rFonts w:hint="eastAsia" w:ascii="仿宋" w:hAnsi="仿宋" w:eastAsia="仿宋" w:cs="宋体"/>
                <w:color w:val="000000"/>
                <w:kern w:val="0"/>
                <w:szCs w:val="21"/>
              </w:rPr>
              <w:t>国家</w:t>
            </w:r>
            <w:r>
              <w:rPr>
                <w:rFonts w:hint="eastAsia" w:ascii="仿宋" w:hAnsi="仿宋" w:eastAsia="仿宋" w:cs="宋体"/>
                <w:color w:val="000000"/>
                <w:kern w:val="0"/>
                <w:szCs w:val="21"/>
                <w:lang w:val="en-US" w:eastAsia="zh-CN"/>
              </w:rPr>
              <w:t>胸痛</w:t>
            </w:r>
            <w:r>
              <w:rPr>
                <w:rFonts w:hint="eastAsia" w:ascii="仿宋" w:hAnsi="仿宋" w:eastAsia="仿宋" w:cs="宋体"/>
                <w:color w:val="000000"/>
                <w:kern w:val="0"/>
                <w:szCs w:val="21"/>
              </w:rPr>
              <w:t>中心</w:t>
            </w:r>
            <w:r>
              <w:rPr>
                <w:rFonts w:hint="eastAsia" w:ascii="仿宋" w:hAnsi="仿宋" w:eastAsia="仿宋" w:cs="宋体"/>
                <w:color w:val="000000"/>
                <w:kern w:val="0"/>
                <w:szCs w:val="21"/>
                <w:lang w:val="en-US" w:eastAsia="zh-CN"/>
              </w:rPr>
              <w:t>系统</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直连并</w:t>
            </w:r>
            <w:r>
              <w:rPr>
                <w:rFonts w:hint="eastAsia" w:ascii="仿宋" w:hAnsi="仿宋" w:eastAsia="仿宋" w:cs="宋体"/>
                <w:color w:val="000000"/>
                <w:kern w:val="0"/>
                <w:szCs w:val="21"/>
              </w:rPr>
              <w:t>上报</w:t>
            </w:r>
            <w:r>
              <w:rPr>
                <w:rFonts w:hint="eastAsia" w:ascii="仿宋" w:hAnsi="仿宋" w:eastAsia="仿宋" w:cs="宋体"/>
                <w:color w:val="000000"/>
                <w:kern w:val="0"/>
                <w:szCs w:val="21"/>
                <w:lang w:val="en-US" w:eastAsia="zh-CN"/>
              </w:rPr>
              <w:t>胸痛</w:t>
            </w:r>
            <w:r>
              <w:rPr>
                <w:rFonts w:hint="eastAsia" w:ascii="仿宋" w:hAnsi="仿宋" w:eastAsia="仿宋" w:cs="宋体"/>
                <w:color w:val="000000"/>
                <w:kern w:val="0"/>
                <w:szCs w:val="21"/>
              </w:rPr>
              <w:t>数据（需院方提供相关接口及账号），并可查看历史上报的日志，包括上报的</w:t>
            </w:r>
            <w:r>
              <w:rPr>
                <w:rFonts w:hint="eastAsia" w:ascii="仿宋" w:hAnsi="仿宋" w:eastAsia="仿宋" w:cs="宋体"/>
                <w:color w:val="000000"/>
                <w:kern w:val="0"/>
                <w:szCs w:val="21"/>
                <w:lang w:val="en-US" w:eastAsia="zh-CN"/>
              </w:rPr>
              <w:t>胸痛</w:t>
            </w:r>
            <w:r>
              <w:rPr>
                <w:rFonts w:hint="eastAsia" w:ascii="仿宋" w:hAnsi="仿宋" w:eastAsia="仿宋" w:cs="宋体"/>
                <w:color w:val="000000"/>
                <w:kern w:val="0"/>
                <w:szCs w:val="21"/>
              </w:rPr>
              <w:t>数据及上报结果。</w:t>
            </w:r>
          </w:p>
        </w:tc>
      </w:tr>
      <w:tr w14:paraId="41CC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restart"/>
            <w:vAlign w:val="center"/>
          </w:tcPr>
          <w:p w14:paraId="0BDEBF33">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卒中中心</w:t>
            </w:r>
          </w:p>
        </w:tc>
        <w:tc>
          <w:tcPr>
            <w:tcW w:w="1013" w:type="pct"/>
            <w:vAlign w:val="center"/>
          </w:tcPr>
          <w:p w14:paraId="5435B467">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卒中中心首页</w:t>
            </w:r>
          </w:p>
        </w:tc>
        <w:tc>
          <w:tcPr>
            <w:tcW w:w="3525" w:type="pct"/>
            <w:vAlign w:val="center"/>
          </w:tcPr>
          <w:p w14:paraId="67DC84FE">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卒中中心首页主要功能包括：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（1）卒中数据统计：系统支持按今日/本周/本月等维度统计卒中患者人数。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（2）快捷流程：提供急救患者快速定位到接诊、卒中诊疗、溶栓/介入治疗、手术治疗、患者转归、数据上报等诊疗阶段。</w:t>
            </w:r>
          </w:p>
        </w:tc>
      </w:tr>
      <w:tr w14:paraId="00EE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3DF7BED7">
            <w:pPr>
              <w:widowControl/>
              <w:jc w:val="left"/>
              <w:rPr>
                <w:rFonts w:ascii="仿宋" w:hAnsi="仿宋" w:eastAsia="仿宋" w:cs="宋体"/>
                <w:color w:val="000000"/>
                <w:kern w:val="0"/>
                <w:szCs w:val="21"/>
              </w:rPr>
            </w:pPr>
          </w:p>
        </w:tc>
        <w:tc>
          <w:tcPr>
            <w:tcW w:w="1013" w:type="pct"/>
            <w:vAlign w:val="center"/>
          </w:tcPr>
          <w:p w14:paraId="4D1BD01C">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卒中启动</w:t>
            </w:r>
          </w:p>
        </w:tc>
        <w:tc>
          <w:tcPr>
            <w:tcW w:w="3525" w:type="pct"/>
            <w:vAlign w:val="center"/>
          </w:tcPr>
          <w:p w14:paraId="1CF3200E">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系统提供卒中启动功能，包括：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（1）多场景启动：提供在院前、急诊、病房等场景快速启动患者卒中急救流程。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（2）启动绿道：启动卒中急救流程时，针对急危重患者可一键开通绿色通道。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（3）卒中建档：提供卒中患者建档功能，可记录卒中患者建档信息，包括：患者基本信息、发病时间、来院方式等关键信息。</w:t>
            </w:r>
          </w:p>
        </w:tc>
      </w:tr>
      <w:tr w14:paraId="6436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0E7E8636">
            <w:pPr>
              <w:widowControl/>
              <w:jc w:val="left"/>
              <w:rPr>
                <w:rFonts w:ascii="仿宋" w:hAnsi="仿宋" w:eastAsia="仿宋" w:cs="宋体"/>
                <w:color w:val="000000"/>
                <w:kern w:val="0"/>
                <w:szCs w:val="21"/>
              </w:rPr>
            </w:pPr>
          </w:p>
        </w:tc>
        <w:tc>
          <w:tcPr>
            <w:tcW w:w="1013" w:type="pct"/>
            <w:vAlign w:val="center"/>
          </w:tcPr>
          <w:p w14:paraId="51ED2777">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卒中数据集成</w:t>
            </w:r>
          </w:p>
        </w:tc>
        <w:tc>
          <w:tcPr>
            <w:tcW w:w="3525" w:type="pct"/>
            <w:vAlign w:val="center"/>
          </w:tcPr>
          <w:p w14:paraId="0BCC8605">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卒中数据集成主要包括：</w:t>
            </w:r>
          </w:p>
          <w:p w14:paraId="5165EFF9">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（1）诊疗数据集成：系统支持与HIS、住院系统、LIS、PACS系统对接，获取卒中患者急救过程中在中产生的所有诊疗文书或报告信息，抽取关键节点数据。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（2）监测设备集成：对接POCT、监护仪、可获取患者的POCT检测结果、生命体征信息等。</w:t>
            </w:r>
          </w:p>
        </w:tc>
      </w:tr>
      <w:tr w14:paraId="0ACC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73270107">
            <w:pPr>
              <w:widowControl/>
              <w:jc w:val="left"/>
              <w:rPr>
                <w:rFonts w:ascii="仿宋" w:hAnsi="仿宋" w:eastAsia="仿宋" w:cs="宋体"/>
                <w:color w:val="000000"/>
                <w:kern w:val="0"/>
                <w:szCs w:val="21"/>
              </w:rPr>
            </w:pPr>
          </w:p>
        </w:tc>
        <w:tc>
          <w:tcPr>
            <w:tcW w:w="1013" w:type="pct"/>
            <w:vAlign w:val="center"/>
          </w:tcPr>
          <w:p w14:paraId="4472DFD4">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卒中急救</w:t>
            </w:r>
          </w:p>
        </w:tc>
        <w:tc>
          <w:tcPr>
            <w:tcW w:w="3525" w:type="pct"/>
            <w:vAlign w:val="center"/>
          </w:tcPr>
          <w:p w14:paraId="61CF9FA1">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卒中急救主要功能包括：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（1）卒中病历信息：按照国家卒中中心要求，卒中病历支持NIHSS评分、洼田饮水试验评分等专业卒中医学评分。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（2）数据监控：系统支持实时采集并查看卒中患者的检验检查报告，POCT检测结果，体征检测数据，移动轨迹采集实时数据。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（3）患者360：系统支持对接医院集成平台患者360视图，可查看患者360。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（4）卒中随访：系统可查看和添加患者的随访记录。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（5）转诊（转出）：可通过填写卒中患者转诊登记表将患者进行向上转诊或向下转诊。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（6）实时时间轴：系统可自动生成卒中急救时间轴，并自动计算与上一时间节点的时长。</w:t>
            </w:r>
          </w:p>
        </w:tc>
      </w:tr>
      <w:tr w14:paraId="2552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5175B02C">
            <w:pPr>
              <w:widowControl/>
              <w:jc w:val="left"/>
              <w:rPr>
                <w:rFonts w:ascii="仿宋" w:hAnsi="仿宋" w:eastAsia="仿宋" w:cs="宋体"/>
                <w:color w:val="000000"/>
                <w:kern w:val="0"/>
                <w:szCs w:val="21"/>
              </w:rPr>
            </w:pPr>
          </w:p>
        </w:tc>
        <w:tc>
          <w:tcPr>
            <w:tcW w:w="1013" w:type="pct"/>
            <w:vAlign w:val="center"/>
          </w:tcPr>
          <w:p w14:paraId="5C6C1CAD">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卒中病历</w:t>
            </w:r>
          </w:p>
        </w:tc>
        <w:tc>
          <w:tcPr>
            <w:tcW w:w="3525" w:type="pct"/>
            <w:vAlign w:val="center"/>
          </w:tcPr>
          <w:p w14:paraId="1D4BCC14">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卒中病历主要功能包括：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（1）病历数据同步：系统可实时监控并获取病历中自动采集的数据，如：院前时间点、检验检查时间、轨迹时间点等等。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（2）病历完整度计算：系统可根据病历填写的情况实时计算卒中病历的完整度。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（3）病历打印：系统提供卒中病历打印功能。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（4）病历提交审核：系统支持卒中病历提交审核，相关人员审核通过后则可上报至国家卒中平台。</w:t>
            </w:r>
          </w:p>
        </w:tc>
      </w:tr>
      <w:tr w14:paraId="68B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2331EC24">
            <w:pPr>
              <w:widowControl/>
              <w:jc w:val="left"/>
              <w:rPr>
                <w:rFonts w:ascii="仿宋" w:hAnsi="仿宋" w:eastAsia="仿宋" w:cs="宋体"/>
                <w:color w:val="000000"/>
                <w:kern w:val="0"/>
                <w:szCs w:val="21"/>
              </w:rPr>
            </w:pPr>
          </w:p>
        </w:tc>
        <w:tc>
          <w:tcPr>
            <w:tcW w:w="1013" w:type="pct"/>
            <w:vAlign w:val="center"/>
          </w:tcPr>
          <w:p w14:paraId="7B98EE72">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卒中数据上报</w:t>
            </w:r>
          </w:p>
        </w:tc>
        <w:tc>
          <w:tcPr>
            <w:tcW w:w="3525" w:type="pct"/>
            <w:vAlign w:val="center"/>
          </w:tcPr>
          <w:p w14:paraId="0DA0F1F8">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系统可</w:t>
            </w:r>
            <w:r>
              <w:rPr>
                <w:rFonts w:hint="eastAsia" w:ascii="仿宋" w:hAnsi="仿宋" w:eastAsia="仿宋" w:cs="宋体"/>
                <w:color w:val="000000"/>
                <w:kern w:val="0"/>
                <w:szCs w:val="21"/>
                <w:lang w:val="en-US" w:eastAsia="zh-CN"/>
              </w:rPr>
              <w:t>对接</w:t>
            </w:r>
            <w:r>
              <w:rPr>
                <w:rFonts w:hint="eastAsia" w:ascii="仿宋" w:hAnsi="仿宋" w:eastAsia="仿宋" w:cs="宋体"/>
                <w:color w:val="000000"/>
                <w:kern w:val="0"/>
                <w:szCs w:val="21"/>
              </w:rPr>
              <w:t>国家</w:t>
            </w:r>
            <w:r>
              <w:rPr>
                <w:rFonts w:hint="eastAsia" w:ascii="仿宋" w:hAnsi="仿宋" w:eastAsia="仿宋" w:cs="宋体"/>
                <w:color w:val="000000"/>
                <w:kern w:val="0"/>
                <w:szCs w:val="21"/>
                <w:lang w:val="en-US" w:eastAsia="zh-CN"/>
              </w:rPr>
              <w:t>卒中</w:t>
            </w:r>
            <w:r>
              <w:rPr>
                <w:rFonts w:hint="eastAsia" w:ascii="仿宋" w:hAnsi="仿宋" w:eastAsia="仿宋" w:cs="宋体"/>
                <w:color w:val="000000"/>
                <w:kern w:val="0"/>
                <w:szCs w:val="21"/>
              </w:rPr>
              <w:t>中心</w:t>
            </w:r>
            <w:r>
              <w:rPr>
                <w:rFonts w:hint="eastAsia" w:ascii="仿宋" w:hAnsi="仿宋" w:eastAsia="仿宋" w:cs="宋体"/>
                <w:color w:val="000000"/>
                <w:kern w:val="0"/>
                <w:szCs w:val="21"/>
                <w:lang w:val="en-US" w:eastAsia="zh-CN"/>
              </w:rPr>
              <w:t>系统</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直连并</w:t>
            </w:r>
            <w:r>
              <w:rPr>
                <w:rFonts w:hint="eastAsia" w:ascii="仿宋" w:hAnsi="仿宋" w:eastAsia="仿宋" w:cs="宋体"/>
                <w:color w:val="000000"/>
                <w:kern w:val="0"/>
                <w:szCs w:val="21"/>
              </w:rPr>
              <w:t>上报</w:t>
            </w:r>
            <w:r>
              <w:rPr>
                <w:rFonts w:hint="eastAsia" w:ascii="仿宋" w:hAnsi="仿宋" w:eastAsia="仿宋" w:cs="宋体"/>
                <w:color w:val="000000"/>
                <w:kern w:val="0"/>
                <w:szCs w:val="21"/>
                <w:lang w:val="en-US" w:eastAsia="zh-CN"/>
              </w:rPr>
              <w:t>卒中相关</w:t>
            </w:r>
            <w:r>
              <w:rPr>
                <w:rFonts w:hint="eastAsia" w:ascii="仿宋" w:hAnsi="仿宋" w:eastAsia="仿宋" w:cs="宋体"/>
                <w:color w:val="000000"/>
                <w:kern w:val="0"/>
                <w:szCs w:val="21"/>
              </w:rPr>
              <w:t>数据（需院方提供相关接口及账号），并可查看历史上报的日志，包括上报的</w:t>
            </w:r>
            <w:r>
              <w:rPr>
                <w:rFonts w:hint="eastAsia" w:ascii="仿宋" w:hAnsi="仿宋" w:eastAsia="仿宋" w:cs="宋体"/>
                <w:color w:val="000000"/>
                <w:kern w:val="0"/>
                <w:szCs w:val="21"/>
                <w:lang w:val="en-US" w:eastAsia="zh-CN"/>
              </w:rPr>
              <w:t>卒中</w:t>
            </w:r>
            <w:r>
              <w:rPr>
                <w:rFonts w:hint="eastAsia" w:ascii="仿宋" w:hAnsi="仿宋" w:eastAsia="仿宋" w:cs="宋体"/>
                <w:color w:val="000000"/>
                <w:kern w:val="0"/>
                <w:szCs w:val="21"/>
              </w:rPr>
              <w:t>数据及上报结果。</w:t>
            </w:r>
          </w:p>
        </w:tc>
      </w:tr>
      <w:tr w14:paraId="273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restart"/>
            <w:vAlign w:val="center"/>
          </w:tcPr>
          <w:p w14:paraId="2426567C">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创伤中心</w:t>
            </w:r>
          </w:p>
        </w:tc>
        <w:tc>
          <w:tcPr>
            <w:tcW w:w="1013" w:type="pct"/>
            <w:vAlign w:val="center"/>
          </w:tcPr>
          <w:p w14:paraId="4095AE9B">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创伤中心首页</w:t>
            </w:r>
          </w:p>
        </w:tc>
        <w:tc>
          <w:tcPr>
            <w:tcW w:w="3525" w:type="pct"/>
            <w:vAlign w:val="center"/>
          </w:tcPr>
          <w:p w14:paraId="78476AA2">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创伤中心首页主要功能包括：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（1）创伤数据统计：系统支持按今日/本周/本月等维度统计创伤患者人数。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（2）快捷流程：提供急救患者快速定位到急救信息、创伤诊疗、患者转归、数据上报等诊疗阶段。</w:t>
            </w:r>
          </w:p>
        </w:tc>
      </w:tr>
      <w:tr w14:paraId="3D41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7795E568">
            <w:pPr>
              <w:widowControl/>
              <w:jc w:val="left"/>
              <w:rPr>
                <w:rFonts w:ascii="仿宋" w:hAnsi="仿宋" w:eastAsia="仿宋" w:cs="宋体"/>
                <w:color w:val="000000"/>
                <w:kern w:val="0"/>
                <w:szCs w:val="21"/>
              </w:rPr>
            </w:pPr>
          </w:p>
        </w:tc>
        <w:tc>
          <w:tcPr>
            <w:tcW w:w="1013" w:type="pct"/>
            <w:vAlign w:val="center"/>
          </w:tcPr>
          <w:p w14:paraId="4443EF06">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创伤启动</w:t>
            </w:r>
          </w:p>
        </w:tc>
        <w:tc>
          <w:tcPr>
            <w:tcW w:w="3525" w:type="pct"/>
            <w:vAlign w:val="center"/>
          </w:tcPr>
          <w:p w14:paraId="0FAE939E">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系统提供创伤启动功能，包括：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（1）多场景启动：提供在院前、急诊、病房等场景快速启动患者创伤急救流程。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（2）启动绿道：启动创伤急救流程时，针对急危重患者可一键开通绿色通道。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（3）创伤建档：提供创伤患者建档功能，可记录创伤中患者建档信息，包括：患者基本信息、发病时间、来院方式等关键信息。</w:t>
            </w:r>
          </w:p>
        </w:tc>
      </w:tr>
      <w:tr w14:paraId="579A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3732922A">
            <w:pPr>
              <w:widowControl/>
              <w:jc w:val="left"/>
              <w:rPr>
                <w:rFonts w:ascii="仿宋" w:hAnsi="仿宋" w:eastAsia="仿宋" w:cs="宋体"/>
                <w:color w:val="000000"/>
                <w:kern w:val="0"/>
                <w:szCs w:val="21"/>
              </w:rPr>
            </w:pPr>
          </w:p>
        </w:tc>
        <w:tc>
          <w:tcPr>
            <w:tcW w:w="1013" w:type="pct"/>
            <w:vAlign w:val="center"/>
          </w:tcPr>
          <w:p w14:paraId="703A127C">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创伤数据集成</w:t>
            </w:r>
          </w:p>
        </w:tc>
        <w:tc>
          <w:tcPr>
            <w:tcW w:w="3525" w:type="pct"/>
            <w:vAlign w:val="center"/>
          </w:tcPr>
          <w:p w14:paraId="2969EF67">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创伤数据集成主要包括：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（1）诊疗数据集成：系统支持与HIS、住院系统、LIS、PACS系统对接，获取创伤患者急救过程中在中产生的所有诊疗文书或报告信息，抽取关键节点数据。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（2）监测设备集成：对接监护仪、可获取患者的生命体征信息。</w:t>
            </w:r>
          </w:p>
        </w:tc>
      </w:tr>
      <w:tr w14:paraId="3BB7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7DEB6851">
            <w:pPr>
              <w:widowControl/>
              <w:jc w:val="left"/>
              <w:rPr>
                <w:rFonts w:ascii="仿宋" w:hAnsi="仿宋" w:eastAsia="仿宋" w:cs="宋体"/>
                <w:color w:val="000000"/>
                <w:kern w:val="0"/>
                <w:szCs w:val="21"/>
              </w:rPr>
            </w:pPr>
          </w:p>
        </w:tc>
        <w:tc>
          <w:tcPr>
            <w:tcW w:w="1013" w:type="pct"/>
            <w:vAlign w:val="center"/>
          </w:tcPr>
          <w:p w14:paraId="147397B5">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创伤急救</w:t>
            </w:r>
          </w:p>
        </w:tc>
        <w:tc>
          <w:tcPr>
            <w:tcW w:w="3525" w:type="pct"/>
            <w:vAlign w:val="center"/>
          </w:tcPr>
          <w:p w14:paraId="2DF23D3A">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创伤急救主要功能包括：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（1）创伤病历信息：按照国家创伤中心要求，病历支持TI评分、APECHE II等专业创伤医学评分。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（2）数据监控：系统支持实时采集并查看创伤患者的检验检查报告，体征检测数据，移动轨迹采集实时数据。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（3）患者360：系统支持对接医院集成平台患者360视图，可查看患者360。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（4）创伤随访：系统可查看和添加患者的随访记录。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（5）转诊（转出）：可通过填写创伤患者转诊登记表将患者进行向上转诊或向下转诊。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（6）实时时间轴：系统可自动生成创伤急救时间轴，并自动计算与上一时间节点的时长。</w:t>
            </w:r>
          </w:p>
        </w:tc>
      </w:tr>
      <w:tr w14:paraId="6687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Merge w:val="continue"/>
            <w:vAlign w:val="center"/>
          </w:tcPr>
          <w:p w14:paraId="3BE4B57F">
            <w:pPr>
              <w:widowControl/>
              <w:jc w:val="left"/>
              <w:rPr>
                <w:rFonts w:ascii="仿宋" w:hAnsi="仿宋" w:eastAsia="仿宋" w:cs="宋体"/>
                <w:color w:val="000000"/>
                <w:kern w:val="0"/>
                <w:szCs w:val="21"/>
              </w:rPr>
            </w:pPr>
          </w:p>
        </w:tc>
        <w:tc>
          <w:tcPr>
            <w:tcW w:w="1013" w:type="pct"/>
            <w:vAlign w:val="center"/>
          </w:tcPr>
          <w:p w14:paraId="613EF252">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创伤病历</w:t>
            </w:r>
          </w:p>
        </w:tc>
        <w:tc>
          <w:tcPr>
            <w:tcW w:w="3525" w:type="pct"/>
            <w:vAlign w:val="center"/>
          </w:tcPr>
          <w:p w14:paraId="1A767907">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创伤病历主要功能包括：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（1）病历数据同步：系统可实时监控并获取病历中自动采集的数据，如：院前时间点、检验检查时间、轨迹时间点等等。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（2）病历完整度计算：系统可根据病历填写的情况实时计算创伤病历的完整度。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（3）病历打印：系统提供创伤病历打印功能。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（4）病历提交审核：系统支持创伤病历提交审核，相关人员审核通过后则可上报至国家创伤平台。</w:t>
            </w:r>
          </w:p>
        </w:tc>
      </w:tr>
      <w:tr w14:paraId="7200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1" w:type="pct"/>
            <w:vMerge w:val="continue"/>
            <w:vAlign w:val="center"/>
          </w:tcPr>
          <w:p w14:paraId="57CEA621">
            <w:pPr>
              <w:widowControl/>
              <w:jc w:val="left"/>
              <w:rPr>
                <w:rFonts w:ascii="仿宋" w:hAnsi="仿宋" w:eastAsia="仿宋" w:cs="宋体"/>
                <w:color w:val="000000"/>
                <w:kern w:val="0"/>
                <w:szCs w:val="21"/>
              </w:rPr>
            </w:pPr>
          </w:p>
        </w:tc>
        <w:tc>
          <w:tcPr>
            <w:tcW w:w="1013" w:type="pct"/>
            <w:vAlign w:val="center"/>
          </w:tcPr>
          <w:p w14:paraId="680AB6B8">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创伤数据上报</w:t>
            </w:r>
          </w:p>
        </w:tc>
        <w:tc>
          <w:tcPr>
            <w:tcW w:w="3525" w:type="pct"/>
            <w:vAlign w:val="center"/>
          </w:tcPr>
          <w:p w14:paraId="047AF350">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系统可</w:t>
            </w:r>
            <w:r>
              <w:rPr>
                <w:rFonts w:hint="eastAsia" w:ascii="仿宋" w:hAnsi="仿宋" w:eastAsia="仿宋" w:cs="宋体"/>
                <w:color w:val="000000"/>
                <w:kern w:val="0"/>
                <w:szCs w:val="21"/>
                <w:lang w:val="en-US" w:eastAsia="zh-CN"/>
              </w:rPr>
              <w:t>对接</w:t>
            </w:r>
            <w:r>
              <w:rPr>
                <w:rFonts w:hint="eastAsia" w:ascii="仿宋" w:hAnsi="仿宋" w:eastAsia="仿宋" w:cs="宋体"/>
                <w:color w:val="000000"/>
                <w:kern w:val="0"/>
                <w:szCs w:val="21"/>
              </w:rPr>
              <w:t>国家创伤中心</w:t>
            </w:r>
            <w:r>
              <w:rPr>
                <w:rFonts w:hint="eastAsia" w:ascii="仿宋" w:hAnsi="仿宋" w:eastAsia="仿宋" w:cs="宋体"/>
                <w:color w:val="000000"/>
                <w:kern w:val="0"/>
                <w:szCs w:val="21"/>
                <w:lang w:val="en-US" w:eastAsia="zh-CN"/>
              </w:rPr>
              <w:t>系统</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直连并</w:t>
            </w:r>
            <w:r>
              <w:rPr>
                <w:rFonts w:hint="eastAsia" w:ascii="仿宋" w:hAnsi="仿宋" w:eastAsia="仿宋" w:cs="宋体"/>
                <w:color w:val="000000"/>
                <w:kern w:val="0"/>
                <w:szCs w:val="21"/>
              </w:rPr>
              <w:t>上报创伤数据（需院方提供相关接口及账号），并可查看历史上报的日志，包括上报的创伤数据及上报结果。</w:t>
            </w:r>
          </w:p>
        </w:tc>
      </w:tr>
      <w:tr w14:paraId="5524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1" w:type="pct"/>
            <w:vMerge w:val="restart"/>
            <w:vAlign w:val="center"/>
          </w:tcPr>
          <w:p w14:paraId="7AAE4777">
            <w:pPr>
              <w:widowControl/>
              <w:jc w:val="left"/>
              <w:rPr>
                <w:rFonts w:ascii="仿宋" w:hAnsi="仿宋" w:eastAsia="仿宋" w:cs="宋体"/>
                <w:color w:val="000000"/>
                <w:kern w:val="0"/>
                <w:szCs w:val="21"/>
              </w:rPr>
            </w:pPr>
            <w:r>
              <w:rPr>
                <w:rFonts w:ascii="仿宋" w:hAnsi="仿宋" w:eastAsia="仿宋" w:cs="宋体"/>
                <w:color w:val="000000"/>
                <w:kern w:val="0"/>
                <w:szCs w:val="21"/>
              </w:rPr>
              <w:t>时间轴管理</w:t>
            </w:r>
          </w:p>
        </w:tc>
        <w:tc>
          <w:tcPr>
            <w:tcW w:w="1013" w:type="pct"/>
          </w:tcPr>
          <w:p w14:paraId="570C1F17">
            <w:pPr>
              <w:spacing w:line="360" w:lineRule="auto"/>
              <w:jc w:val="center"/>
              <w:rPr>
                <w:rFonts w:ascii="仿宋" w:hAnsi="仿宋" w:eastAsia="仿宋"/>
                <w:szCs w:val="21"/>
              </w:rPr>
            </w:pPr>
            <w:r>
              <w:rPr>
                <w:rFonts w:ascii="仿宋" w:hAnsi="仿宋" w:eastAsia="仿宋"/>
                <w:szCs w:val="21"/>
              </w:rPr>
              <w:t>胸痛中心</w:t>
            </w:r>
          </w:p>
        </w:tc>
        <w:tc>
          <w:tcPr>
            <w:tcW w:w="3525" w:type="pct"/>
          </w:tcPr>
          <w:p w14:paraId="143635BF">
            <w:pPr>
              <w:widowControl/>
              <w:jc w:val="left"/>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rPr>
              <w:t>通过对胸痛中心患者救治过程当中，所涉及的每个关键时间节点以时间轴的方式进行管理，直观展示每个节点的处置时间、处置结果和相关负责人，并与各时间节点规定的参考时间进行对比，对于超时的情况记录延时原因和纠正方式。</w:t>
            </w:r>
            <w:r>
              <w:rPr>
                <w:rFonts w:hint="eastAsia" w:ascii="仿宋" w:hAnsi="仿宋" w:eastAsia="仿宋" w:cs="宋体"/>
                <w:color w:val="000000"/>
                <w:kern w:val="0"/>
                <w:szCs w:val="21"/>
              </w:rPr>
              <w:t>并形成救治时间管理表。</w:t>
            </w:r>
          </w:p>
        </w:tc>
      </w:tr>
      <w:tr w14:paraId="5C7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1" w:type="pct"/>
            <w:vMerge w:val="continue"/>
            <w:vAlign w:val="center"/>
          </w:tcPr>
          <w:p w14:paraId="1CE9064F">
            <w:pPr>
              <w:widowControl/>
              <w:jc w:val="left"/>
              <w:rPr>
                <w:rFonts w:ascii="仿宋" w:hAnsi="仿宋" w:eastAsia="仿宋" w:cs="宋体"/>
                <w:color w:val="000000"/>
                <w:kern w:val="0"/>
                <w:szCs w:val="21"/>
              </w:rPr>
            </w:pPr>
          </w:p>
        </w:tc>
        <w:tc>
          <w:tcPr>
            <w:tcW w:w="1013" w:type="pct"/>
          </w:tcPr>
          <w:p w14:paraId="366B95DD">
            <w:pPr>
              <w:spacing w:line="360" w:lineRule="auto"/>
              <w:jc w:val="center"/>
              <w:rPr>
                <w:rFonts w:ascii="仿宋" w:hAnsi="仿宋" w:eastAsia="仿宋"/>
                <w:szCs w:val="21"/>
              </w:rPr>
            </w:pPr>
            <w:r>
              <w:rPr>
                <w:rFonts w:ascii="仿宋" w:hAnsi="仿宋" w:eastAsia="仿宋"/>
                <w:szCs w:val="21"/>
              </w:rPr>
              <w:t>卒中中心</w:t>
            </w:r>
          </w:p>
        </w:tc>
        <w:tc>
          <w:tcPr>
            <w:tcW w:w="3525" w:type="pct"/>
          </w:tcPr>
          <w:p w14:paraId="2C602277">
            <w:pPr>
              <w:widowControl/>
              <w:jc w:val="left"/>
              <w:textAlignment w:val="center"/>
              <w:rPr>
                <w:rFonts w:hint="eastAsia" w:ascii="仿宋" w:hAnsi="仿宋" w:eastAsia="仿宋" w:cs="宋体"/>
                <w:color w:val="000000"/>
                <w:kern w:val="0"/>
                <w:szCs w:val="21"/>
              </w:rPr>
            </w:pPr>
            <w:r>
              <w:rPr>
                <w:rFonts w:hint="eastAsia" w:ascii="仿宋" w:hAnsi="仿宋" w:eastAsia="仿宋" w:cs="宋体"/>
                <w:color w:val="000000"/>
                <w:kern w:val="0"/>
                <w:szCs w:val="21"/>
              </w:rPr>
              <w:t>通过对卒中中心患者救治过程当中，所涉及的每个关键时间节点以时间轴的方式进行管理，直观展示每个节点的处置时间、处置结果和相关负责人，并与各时间节点规定的参考时间进行对比，对于超时的情况记录延时原因和纠正方式。</w:t>
            </w:r>
            <w:r>
              <w:rPr>
                <w:rFonts w:hint="eastAsia" w:ascii="仿宋" w:hAnsi="仿宋" w:eastAsia="仿宋" w:cs="宋体"/>
                <w:color w:val="000000"/>
                <w:kern w:val="0"/>
                <w:szCs w:val="21"/>
              </w:rPr>
              <w:t>并形成救治时间管理表。</w:t>
            </w:r>
          </w:p>
        </w:tc>
      </w:tr>
      <w:tr w14:paraId="68B7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1" w:type="pct"/>
            <w:vMerge w:val="continue"/>
            <w:vAlign w:val="center"/>
          </w:tcPr>
          <w:p w14:paraId="1BC292DB">
            <w:pPr>
              <w:widowControl/>
              <w:jc w:val="left"/>
              <w:rPr>
                <w:rFonts w:ascii="仿宋" w:hAnsi="仿宋" w:eastAsia="仿宋" w:cs="宋体"/>
                <w:color w:val="000000"/>
                <w:kern w:val="0"/>
                <w:szCs w:val="21"/>
              </w:rPr>
            </w:pPr>
          </w:p>
        </w:tc>
        <w:tc>
          <w:tcPr>
            <w:tcW w:w="1013" w:type="pct"/>
          </w:tcPr>
          <w:p w14:paraId="2189D7FA">
            <w:pPr>
              <w:spacing w:line="360" w:lineRule="auto"/>
              <w:jc w:val="center"/>
              <w:rPr>
                <w:rFonts w:ascii="仿宋" w:hAnsi="仿宋" w:eastAsia="仿宋"/>
                <w:szCs w:val="21"/>
              </w:rPr>
            </w:pPr>
            <w:r>
              <w:rPr>
                <w:rFonts w:ascii="仿宋" w:hAnsi="仿宋" w:eastAsia="仿宋"/>
                <w:szCs w:val="21"/>
              </w:rPr>
              <w:t>创伤中心</w:t>
            </w:r>
          </w:p>
        </w:tc>
        <w:tc>
          <w:tcPr>
            <w:tcW w:w="3525" w:type="pct"/>
          </w:tcPr>
          <w:p w14:paraId="6B159EF3">
            <w:pPr>
              <w:widowControl/>
              <w:jc w:val="left"/>
              <w:textAlignment w:val="center"/>
              <w:rPr>
                <w:rFonts w:ascii="仿宋" w:hAnsi="仿宋" w:eastAsia="仿宋"/>
                <w:szCs w:val="21"/>
              </w:rPr>
            </w:pPr>
            <w:r>
              <w:rPr>
                <w:rFonts w:hint="eastAsia" w:ascii="仿宋" w:hAnsi="仿宋" w:eastAsia="仿宋" w:cs="宋体"/>
                <w:color w:val="000000"/>
                <w:kern w:val="0"/>
                <w:szCs w:val="21"/>
              </w:rPr>
              <w:t>通过对创伤中心患者救治过程当中，所涉及的每个关键时间节点以时间轴的方式进行管理，直观展示每个节点的处置时间、处置结果和相关负责人，并与各时间节点规定的参考时间进行对比，对于超时的情况记录延时原因和纠正方式。</w:t>
            </w:r>
            <w:r>
              <w:rPr>
                <w:rFonts w:hint="eastAsia" w:ascii="仿宋" w:hAnsi="仿宋" w:eastAsia="仿宋" w:cs="宋体"/>
                <w:color w:val="000000"/>
                <w:kern w:val="0"/>
                <w:szCs w:val="21"/>
              </w:rPr>
              <w:t>并形成救治时间管理表。</w:t>
            </w:r>
          </w:p>
        </w:tc>
      </w:tr>
      <w:tr w14:paraId="7284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461" w:type="pct"/>
            <w:vAlign w:val="center"/>
          </w:tcPr>
          <w:p w14:paraId="6F62B763">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专科病人管理</w:t>
            </w:r>
          </w:p>
        </w:tc>
        <w:tc>
          <w:tcPr>
            <w:tcW w:w="1013" w:type="pct"/>
            <w:vAlign w:val="center"/>
          </w:tcPr>
          <w:p w14:paraId="2663BD1F">
            <w:pPr>
              <w:jc w:val="center"/>
              <w:rPr>
                <w:rFonts w:ascii="仿宋" w:hAnsi="仿宋" w:eastAsia="仿宋" w:cs="宋体"/>
                <w:color w:val="000000"/>
                <w:szCs w:val="21"/>
              </w:rPr>
            </w:pPr>
          </w:p>
        </w:tc>
        <w:tc>
          <w:tcPr>
            <w:tcW w:w="3525" w:type="pct"/>
            <w:vAlign w:val="center"/>
          </w:tcPr>
          <w:p w14:paraId="2C27AEBF">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系统可对专科病人进行管理，包括：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（1）胸痛病人管理：可查看和管理所有胸痛患者的胸痛病历及急救过程产生的诊疗数据。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（2）卒中病人管理：可查看和管理所有卒中患者的卒中病历及急救过程产生的诊疗数据。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（3）创伤病人管理：可查看和管理所有创伤患者的创伤病历及急救过程产生的诊疗数据。</w:t>
            </w:r>
          </w:p>
        </w:tc>
      </w:tr>
      <w:tr w14:paraId="374C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1" w:type="pct"/>
            <w:vAlign w:val="center"/>
          </w:tcPr>
          <w:p w14:paraId="077896E6">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专科病历审核</w:t>
            </w:r>
          </w:p>
        </w:tc>
        <w:tc>
          <w:tcPr>
            <w:tcW w:w="1013" w:type="pct"/>
            <w:vAlign w:val="center"/>
          </w:tcPr>
          <w:p w14:paraId="63E34FFB">
            <w:pPr>
              <w:jc w:val="center"/>
              <w:rPr>
                <w:rFonts w:ascii="仿宋" w:hAnsi="仿宋" w:eastAsia="仿宋" w:cs="宋体"/>
                <w:color w:val="000000"/>
                <w:szCs w:val="21"/>
              </w:rPr>
            </w:pPr>
          </w:p>
        </w:tc>
        <w:tc>
          <w:tcPr>
            <w:tcW w:w="3525" w:type="pct"/>
            <w:vAlign w:val="center"/>
          </w:tcPr>
          <w:p w14:paraId="5BBA7D1A">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专科病历审核功能包括：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（1）病历审核：系统提供专科病历审核管理，包括：胸痛病历、卒中病历、创伤病历审核，审核操作包括通过、驳回。</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（2）审核记录：提供查看专</w:t>
            </w:r>
            <w:bookmarkStart w:id="0" w:name="_GoBack"/>
            <w:bookmarkEnd w:id="0"/>
            <w:r>
              <w:rPr>
                <w:rFonts w:hint="eastAsia" w:ascii="仿宋" w:hAnsi="仿宋" w:eastAsia="仿宋" w:cs="宋体"/>
                <w:color w:val="000000"/>
                <w:kern w:val="0"/>
                <w:szCs w:val="21"/>
              </w:rPr>
              <w:t>科病历审核记录，包括：审核时间，审核人，审核结果等。</w:t>
            </w:r>
          </w:p>
        </w:tc>
      </w:tr>
      <w:tr w14:paraId="79EC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461" w:type="pct"/>
            <w:vMerge w:val="restart"/>
            <w:vAlign w:val="center"/>
          </w:tcPr>
          <w:p w14:paraId="3BDE33C2">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专科中心质控统计</w:t>
            </w:r>
          </w:p>
        </w:tc>
        <w:tc>
          <w:tcPr>
            <w:tcW w:w="1013" w:type="pct"/>
            <w:vAlign w:val="center"/>
          </w:tcPr>
          <w:p w14:paraId="696059FF">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胸痛质控统计</w:t>
            </w:r>
          </w:p>
        </w:tc>
        <w:tc>
          <w:tcPr>
            <w:tcW w:w="3525" w:type="pct"/>
            <w:vAlign w:val="center"/>
          </w:tcPr>
          <w:p w14:paraId="30448DC1">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系统提供胸痛质控统计报表，包括：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（1）胸痛病因构成比：系统可自动生成胸痛病因构成比，支持年报表、季报表、月报表、日报表四种报表类型，同时支持将报表通过excel形式进行导出。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（2）胸痛患者分析：系统可通过图表形式自动统计各年龄段与和性别的胸痛患者数据，支持年报表、季报表、月报表、日报表四种报表类型，同时支持将报表通过excel形式进行导出。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（3）来院方式统计：系统可通过图表形式自动统计各个来院方式的胸痛患者数据，支持年报表、季报表、月报表、日报表四种报表类型，同时支持将报表通过excel形式进行导出。</w:t>
            </w:r>
          </w:p>
        </w:tc>
      </w:tr>
      <w:tr w14:paraId="3279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461" w:type="pct"/>
            <w:vMerge w:val="continue"/>
            <w:vAlign w:val="center"/>
          </w:tcPr>
          <w:p w14:paraId="5E27B83D">
            <w:pPr>
              <w:widowControl/>
              <w:jc w:val="center"/>
              <w:textAlignment w:val="center"/>
              <w:rPr>
                <w:rFonts w:ascii="仿宋" w:hAnsi="仿宋" w:eastAsia="仿宋" w:cs="宋体"/>
                <w:color w:val="000000"/>
                <w:kern w:val="0"/>
                <w:szCs w:val="21"/>
              </w:rPr>
            </w:pPr>
          </w:p>
        </w:tc>
        <w:tc>
          <w:tcPr>
            <w:tcW w:w="1013" w:type="pct"/>
            <w:vAlign w:val="center"/>
          </w:tcPr>
          <w:p w14:paraId="6512EE82">
            <w:pPr>
              <w:widowControl/>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卒中质控统计</w:t>
            </w:r>
          </w:p>
        </w:tc>
        <w:tc>
          <w:tcPr>
            <w:tcW w:w="3525" w:type="pct"/>
            <w:vAlign w:val="center"/>
          </w:tcPr>
          <w:p w14:paraId="747CF2F0">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系统提供卒中质控统计报表，包括：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（1）卒中病因构成比：系统可自动生成卒中病因构成比，支持年报表、季报表、月报表、日报表四种报表类型，同时支持将报表通过excel形式进行导出。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（2）卒中患者分析：系统可通过图表形式自动统计各年龄段与和性别的卒中患者数据，支持年报表、季报表、月报表、日报表四种报表类型，同时支持将报表通过excel形式进行导出。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（3）来院方式统计：系统可通过图表形式自动统计各个来院方式的卒中患者数据，支持年报表、季报表、月报表、日报表四种报表类型，同时支持将报表通过excel形式进行导出。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（4）卒中关键指标：系统可通过图表形式自动统计卒中患者关键指标数据，支持年报表、季报表、月报表、日报表四种报表类型，同时支持将报表通过excel形式进行导出。</w:t>
            </w:r>
          </w:p>
        </w:tc>
      </w:tr>
      <w:tr w14:paraId="596E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trPr>
        <w:tc>
          <w:tcPr>
            <w:tcW w:w="461" w:type="pct"/>
            <w:vMerge w:val="continue"/>
            <w:vAlign w:val="center"/>
          </w:tcPr>
          <w:p w14:paraId="0E0FB8EF">
            <w:pPr>
              <w:widowControl/>
              <w:jc w:val="center"/>
              <w:textAlignment w:val="center"/>
              <w:rPr>
                <w:rFonts w:ascii="仿宋" w:hAnsi="仿宋" w:eastAsia="仿宋" w:cs="宋体"/>
                <w:color w:val="000000"/>
                <w:kern w:val="0"/>
                <w:szCs w:val="21"/>
              </w:rPr>
            </w:pPr>
          </w:p>
        </w:tc>
        <w:tc>
          <w:tcPr>
            <w:tcW w:w="1013" w:type="pct"/>
            <w:vAlign w:val="center"/>
          </w:tcPr>
          <w:p w14:paraId="757804AD">
            <w:pPr>
              <w:pStyle w:val="5"/>
              <w:rPr>
                <w:b w:val="0"/>
                <w:sz w:val="21"/>
                <w:szCs w:val="21"/>
              </w:rPr>
            </w:pPr>
            <w:r>
              <w:rPr>
                <w:rFonts w:hint="eastAsia"/>
                <w:b w:val="0"/>
                <w:sz w:val="21"/>
                <w:szCs w:val="21"/>
              </w:rPr>
              <w:t>创伤质控统计</w:t>
            </w:r>
          </w:p>
        </w:tc>
        <w:tc>
          <w:tcPr>
            <w:tcW w:w="3525" w:type="pct"/>
            <w:vAlign w:val="center"/>
          </w:tcPr>
          <w:p w14:paraId="045867EB">
            <w:pPr>
              <w:widowControl/>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系统提供创伤质控统计报表，包括：</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（1）创伤患者分析：系统可通过图表形式自动统计各年龄段与和性别的创伤患者数据，支持年报表、季报表、月报表、日报表四种报表类型，同时支持将报表通过excel形式进行导出。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（2）来院方式统计：系统可通过图表形式自动统计各个来院方式的创伤患者数据，支持年报表、季报表、月报表、日报表四种报表类型，同时支持将报表通过excel形式进行导出。</w:t>
            </w:r>
          </w:p>
        </w:tc>
      </w:tr>
    </w:tbl>
    <w:p w14:paraId="6A093FB6">
      <w:pPr>
        <w:pStyle w:val="3"/>
        <w:keepNext w:val="0"/>
        <w:keepLines w:val="0"/>
        <w:widowControl/>
        <w:numPr>
          <w:ilvl w:val="0"/>
          <w:numId w:val="1"/>
        </w:numPr>
        <w:suppressLineNumbers w:val="0"/>
        <w:shd w:val="clear" w:fill="FFFFFF"/>
        <w:spacing w:line="23" w:lineRule="atLeast"/>
        <w:ind w:left="0" w:firstLine="0"/>
        <w:jc w:val="left"/>
        <w:rPr>
          <w:rFonts w:hint="default"/>
          <w:lang w:val="en-US" w:eastAsia="zh-CN"/>
        </w:rPr>
      </w:pPr>
      <w:r>
        <w:rPr>
          <w:rFonts w:hint="eastAsia" w:ascii="Segoe UI" w:hAnsi="Segoe UI" w:eastAsia="Segoe UI" w:cs="Segoe UI"/>
          <w:i w:val="0"/>
          <w:iCs w:val="0"/>
          <w:caps w:val="0"/>
          <w:color w:val="404040"/>
          <w:spacing w:val="0"/>
          <w:shd w:val="clear" w:fill="FFFFFF"/>
          <w:lang w:val="en-US" w:eastAsia="zh-CN"/>
        </w:rPr>
        <w:t>其他要求</w:t>
      </w:r>
    </w:p>
    <w:tbl>
      <w:tblPr>
        <w:tblStyle w:val="6"/>
        <w:tblW w:w="6293" w:type="pct"/>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175"/>
        <w:gridCol w:w="7560"/>
      </w:tblGrid>
      <w:tr w14:paraId="2DAC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62" w:type="pct"/>
            <w:vMerge w:val="restart"/>
            <w:vAlign w:val="center"/>
          </w:tcPr>
          <w:p w14:paraId="7792F553">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数据互联互通</w:t>
            </w:r>
          </w:p>
        </w:tc>
        <w:tc>
          <w:tcPr>
            <w:tcW w:w="1014" w:type="pct"/>
            <w:vAlign w:val="center"/>
          </w:tcPr>
          <w:p w14:paraId="28531195">
            <w:pPr>
              <w:pStyle w:val="5"/>
              <w:rPr>
                <w:b w:val="0"/>
                <w:sz w:val="21"/>
                <w:szCs w:val="21"/>
              </w:rPr>
            </w:pPr>
            <w:r>
              <w:rPr>
                <w:rFonts w:hint="eastAsia"/>
                <w:b w:val="0"/>
                <w:sz w:val="21"/>
                <w:szCs w:val="21"/>
              </w:rPr>
              <w:t>系统数据互联互通</w:t>
            </w:r>
          </w:p>
        </w:tc>
        <w:tc>
          <w:tcPr>
            <w:tcW w:w="3524" w:type="pct"/>
            <w:vAlign w:val="center"/>
          </w:tcPr>
          <w:p w14:paraId="0C09965B">
            <w:pPr>
              <w:pStyle w:val="5"/>
              <w:rPr>
                <w:b w:val="0"/>
                <w:sz w:val="21"/>
                <w:szCs w:val="21"/>
              </w:rPr>
            </w:pPr>
            <w:r>
              <w:rPr>
                <w:rFonts w:hint="eastAsia"/>
                <w:b w:val="0"/>
                <w:sz w:val="21"/>
                <w:szCs w:val="21"/>
              </w:rPr>
              <w:t>（1）对接集成医院现有急诊系统的接口，其中包括：患者信息、救治诊疗信息、数据专科发布、会诊送达、快速建立绿色通道等信息；</w:t>
            </w:r>
          </w:p>
          <w:p w14:paraId="61140D7A">
            <w:pPr>
              <w:pStyle w:val="5"/>
              <w:rPr>
                <w:b w:val="0"/>
                <w:sz w:val="21"/>
                <w:szCs w:val="21"/>
              </w:rPr>
            </w:pPr>
            <w:r>
              <w:rPr>
                <w:rFonts w:hint="eastAsia"/>
                <w:b w:val="0"/>
                <w:sz w:val="21"/>
                <w:szCs w:val="21"/>
              </w:rPr>
              <w:t>（2）集成HIS系统、EMR系统、LIS系统、PACS系统数据，同步患者基本信息、住院信息、医嘱下达信息数据到服务器；同时实现电子病历汇总；</w:t>
            </w:r>
          </w:p>
        </w:tc>
      </w:tr>
      <w:tr w14:paraId="4B25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62" w:type="pct"/>
            <w:vMerge w:val="continue"/>
            <w:vAlign w:val="center"/>
          </w:tcPr>
          <w:p w14:paraId="7CA438CC">
            <w:pPr>
              <w:rPr>
                <w:rFonts w:ascii="仿宋" w:hAnsi="仿宋" w:eastAsia="仿宋" w:cs="宋体"/>
                <w:color w:val="000000" w:themeColor="text1"/>
                <w:szCs w:val="21"/>
                <w14:textFill>
                  <w14:solidFill>
                    <w14:schemeClr w14:val="tx1"/>
                  </w14:solidFill>
                </w14:textFill>
              </w:rPr>
            </w:pPr>
          </w:p>
        </w:tc>
        <w:tc>
          <w:tcPr>
            <w:tcW w:w="1014" w:type="pct"/>
            <w:vAlign w:val="center"/>
          </w:tcPr>
          <w:p w14:paraId="74C98D48">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数据上报</w:t>
            </w:r>
          </w:p>
        </w:tc>
        <w:tc>
          <w:tcPr>
            <w:tcW w:w="3524" w:type="pct"/>
            <w:vAlign w:val="center"/>
          </w:tcPr>
          <w:p w14:paraId="640CFAC9">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完成相应的数据上报接口对接</w:t>
            </w:r>
          </w:p>
        </w:tc>
      </w:tr>
      <w:tr w14:paraId="055B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62" w:type="pct"/>
            <w:vMerge w:val="continue"/>
            <w:vAlign w:val="center"/>
          </w:tcPr>
          <w:p w14:paraId="7BBCE667">
            <w:pPr>
              <w:rPr>
                <w:rFonts w:ascii="仿宋" w:hAnsi="仿宋" w:eastAsia="仿宋" w:cs="宋体"/>
                <w:color w:val="000000" w:themeColor="text1"/>
                <w:szCs w:val="21"/>
                <w14:textFill>
                  <w14:solidFill>
                    <w14:schemeClr w14:val="tx1"/>
                  </w14:solidFill>
                </w14:textFill>
              </w:rPr>
            </w:pPr>
          </w:p>
        </w:tc>
        <w:tc>
          <w:tcPr>
            <w:tcW w:w="1014" w:type="pct"/>
            <w:vAlign w:val="center"/>
          </w:tcPr>
          <w:p w14:paraId="2E6D0F33">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硬件数据集成</w:t>
            </w:r>
          </w:p>
        </w:tc>
        <w:tc>
          <w:tcPr>
            <w:tcW w:w="3524" w:type="pct"/>
            <w:vAlign w:val="center"/>
          </w:tcPr>
          <w:p w14:paraId="79A7732E">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系统支持集成监护仪、血压仪</w:t>
            </w:r>
            <w:r>
              <w:rPr>
                <w:rFonts w:hint="eastAsia" w:ascii="仿宋" w:hAnsi="仿宋" w:eastAsia="仿宋" w:cs="宋体"/>
                <w:color w:val="000000" w:themeColor="text1"/>
                <w:szCs w:val="21"/>
                <w:lang w:eastAsia="zh-CN"/>
                <w14:textFill>
                  <w14:solidFill>
                    <w14:schemeClr w14:val="tx1"/>
                  </w14:solidFill>
                </w14:textFill>
              </w:rPr>
              <w:t>、</w:t>
            </w:r>
            <w:r>
              <w:rPr>
                <w:rFonts w:hint="eastAsia" w:ascii="仿宋" w:hAnsi="仿宋" w:eastAsia="仿宋" w:cs="宋体"/>
                <w:color w:val="000000" w:themeColor="text1"/>
                <w:szCs w:val="21"/>
                <w14:textFill>
                  <w14:solidFill>
                    <w14:schemeClr w14:val="tx1"/>
                  </w14:solidFill>
                </w14:textFill>
              </w:rPr>
              <w:t>心电图机、POCT等设备。</w:t>
            </w:r>
          </w:p>
        </w:tc>
      </w:tr>
      <w:tr w14:paraId="5A30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62" w:type="pct"/>
            <w:vMerge w:val="continue"/>
            <w:vAlign w:val="center"/>
          </w:tcPr>
          <w:p w14:paraId="6AF8E0B8">
            <w:pPr>
              <w:rPr>
                <w:rFonts w:ascii="仿宋" w:hAnsi="仿宋" w:eastAsia="仿宋" w:cs="宋体"/>
                <w:color w:val="000000" w:themeColor="text1"/>
                <w:szCs w:val="21"/>
                <w14:textFill>
                  <w14:solidFill>
                    <w14:schemeClr w14:val="tx1"/>
                  </w14:solidFill>
                </w14:textFill>
              </w:rPr>
            </w:pPr>
          </w:p>
        </w:tc>
        <w:tc>
          <w:tcPr>
            <w:tcW w:w="1014" w:type="pct"/>
            <w:vMerge w:val="restart"/>
            <w:vAlign w:val="center"/>
          </w:tcPr>
          <w:p w14:paraId="1E9320AF">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满足评审要求</w:t>
            </w:r>
          </w:p>
        </w:tc>
        <w:tc>
          <w:tcPr>
            <w:tcW w:w="3524" w:type="pct"/>
            <w:vAlign w:val="center"/>
          </w:tcPr>
          <w:p w14:paraId="2830C450">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满足互联互通五级乙等评审要求</w:t>
            </w:r>
          </w:p>
        </w:tc>
      </w:tr>
      <w:tr w14:paraId="14B7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462" w:type="pct"/>
            <w:vMerge w:val="continue"/>
            <w:vAlign w:val="center"/>
          </w:tcPr>
          <w:p w14:paraId="5D42F112">
            <w:pPr>
              <w:rPr>
                <w:rFonts w:ascii="仿宋" w:hAnsi="仿宋" w:eastAsia="仿宋" w:cs="宋体"/>
                <w:color w:val="000000" w:themeColor="text1"/>
                <w:szCs w:val="21"/>
                <w14:textFill>
                  <w14:solidFill>
                    <w14:schemeClr w14:val="tx1"/>
                  </w14:solidFill>
                </w14:textFill>
              </w:rPr>
            </w:pPr>
          </w:p>
        </w:tc>
        <w:tc>
          <w:tcPr>
            <w:tcW w:w="1014" w:type="pct"/>
            <w:vMerge w:val="continue"/>
            <w:vAlign w:val="center"/>
          </w:tcPr>
          <w:p w14:paraId="09707BF3">
            <w:pPr>
              <w:rPr>
                <w:rFonts w:ascii="仿宋" w:hAnsi="仿宋" w:eastAsia="仿宋" w:cs="宋体"/>
                <w:color w:val="000000" w:themeColor="text1"/>
                <w:szCs w:val="21"/>
                <w14:textFill>
                  <w14:solidFill>
                    <w14:schemeClr w14:val="tx1"/>
                  </w14:solidFill>
                </w14:textFill>
              </w:rPr>
            </w:pPr>
          </w:p>
        </w:tc>
        <w:tc>
          <w:tcPr>
            <w:tcW w:w="3524" w:type="pct"/>
            <w:vAlign w:val="center"/>
          </w:tcPr>
          <w:p w14:paraId="72E1BF0F">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满足三级甲等医院评审要求</w:t>
            </w:r>
          </w:p>
        </w:tc>
      </w:tr>
      <w:tr w14:paraId="55D4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2" w:type="pct"/>
            <w:vMerge w:val="continue"/>
            <w:vAlign w:val="center"/>
          </w:tcPr>
          <w:p w14:paraId="0573CC6A">
            <w:pPr>
              <w:widowControl/>
              <w:jc w:val="left"/>
              <w:rPr>
                <w:rFonts w:ascii="仿宋" w:hAnsi="仿宋" w:eastAsia="仿宋" w:cs="宋体"/>
                <w:color w:val="000000"/>
                <w:szCs w:val="21"/>
              </w:rPr>
            </w:pPr>
          </w:p>
        </w:tc>
        <w:tc>
          <w:tcPr>
            <w:tcW w:w="1014" w:type="pct"/>
            <w:vMerge w:val="continue"/>
            <w:vAlign w:val="center"/>
          </w:tcPr>
          <w:p w14:paraId="6E5FA147">
            <w:pPr>
              <w:rPr>
                <w:rFonts w:ascii="仿宋" w:hAnsi="仿宋" w:eastAsia="仿宋" w:cs="宋体"/>
                <w:color w:val="000000" w:themeColor="text1"/>
                <w:szCs w:val="21"/>
                <w14:textFill>
                  <w14:solidFill>
                    <w14:schemeClr w14:val="tx1"/>
                  </w14:solidFill>
                </w14:textFill>
              </w:rPr>
            </w:pPr>
          </w:p>
        </w:tc>
        <w:tc>
          <w:tcPr>
            <w:tcW w:w="3524" w:type="pct"/>
            <w:vAlign w:val="center"/>
          </w:tcPr>
          <w:p w14:paraId="4ABDA3D1">
            <w:pP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系满足电子病历五级评审要求</w:t>
            </w:r>
          </w:p>
        </w:tc>
      </w:tr>
      <w:tr w14:paraId="1898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2" w:type="pct"/>
            <w:vAlign w:val="center"/>
          </w:tcPr>
          <w:p w14:paraId="2784726E">
            <w:pPr>
              <w:widowControl/>
              <w:jc w:val="left"/>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信创改造</w:t>
            </w:r>
          </w:p>
        </w:tc>
        <w:tc>
          <w:tcPr>
            <w:tcW w:w="1014" w:type="pct"/>
            <w:vAlign w:val="center"/>
          </w:tcPr>
          <w:p w14:paraId="3D19CE74">
            <w:pP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满足未来信创要求</w:t>
            </w:r>
          </w:p>
        </w:tc>
        <w:tc>
          <w:tcPr>
            <w:tcW w:w="3524" w:type="pct"/>
            <w:vAlign w:val="center"/>
          </w:tcPr>
          <w:p w14:paraId="5CBF0757">
            <w:pP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系</w:t>
            </w:r>
            <w:r>
              <w:rPr>
                <w:rFonts w:hint="eastAsia" w:ascii="仿宋" w:hAnsi="仿宋" w:eastAsia="仿宋" w:cs="宋体"/>
                <w:color w:val="000000" w:themeColor="text1"/>
                <w:szCs w:val="21"/>
                <w14:textFill>
                  <w14:solidFill>
                    <w14:schemeClr w14:val="tx1"/>
                  </w14:solidFill>
                </w14:textFill>
              </w:rPr>
              <w:t>统在信创环境下能稳定运行，</w:t>
            </w:r>
            <w:r>
              <w:rPr>
                <w:rFonts w:hint="eastAsia" w:ascii="仿宋" w:hAnsi="仿宋" w:eastAsia="仿宋" w:cs="宋体"/>
                <w:color w:val="000000" w:themeColor="text1"/>
                <w:szCs w:val="21"/>
                <w:lang w:val="en-US" w:eastAsia="zh-CN"/>
                <w14:textFill>
                  <w14:solidFill>
                    <w14:schemeClr w14:val="tx1"/>
                  </w14:solidFill>
                </w14:textFill>
              </w:rPr>
              <w:t>并</w:t>
            </w:r>
            <w:r>
              <w:rPr>
                <w:rFonts w:hint="eastAsia" w:ascii="仿宋" w:hAnsi="仿宋" w:eastAsia="仿宋" w:cs="宋体"/>
                <w:color w:val="000000" w:themeColor="text1"/>
                <w:szCs w:val="21"/>
                <w14:textFill>
                  <w14:solidFill>
                    <w14:schemeClr w14:val="tx1"/>
                  </w14:solidFill>
                </w14:textFill>
              </w:rPr>
              <w:t>具备平滑过渡能力</w:t>
            </w:r>
            <w:r>
              <w:rPr>
                <w:rFonts w:hint="eastAsia" w:ascii="仿宋" w:hAnsi="仿宋" w:eastAsia="仿宋" w:cs="宋体"/>
                <w:color w:val="000000" w:themeColor="text1"/>
                <w:szCs w:val="21"/>
                <w:lang w:eastAsia="zh-CN"/>
                <w14:textFill>
                  <w14:solidFill>
                    <w14:schemeClr w14:val="tx1"/>
                  </w14:solidFill>
                </w14:textFill>
              </w:rPr>
              <w:t>，</w:t>
            </w:r>
            <w:r>
              <w:rPr>
                <w:rFonts w:hint="eastAsia" w:ascii="仿宋" w:hAnsi="仿宋" w:eastAsia="仿宋" w:cs="宋体"/>
                <w:color w:val="000000" w:themeColor="text1"/>
                <w:szCs w:val="21"/>
                <w:lang w:val="en-US" w:eastAsia="zh-CN"/>
                <w14:textFill>
                  <w14:solidFill>
                    <w14:schemeClr w14:val="tx1"/>
                  </w14:solidFill>
                </w14:textFill>
              </w:rPr>
              <w:t>未来在国家要求全面新创化后提供无偿迁移服务。</w:t>
            </w:r>
          </w:p>
        </w:tc>
      </w:tr>
    </w:tbl>
    <w:p w14:paraId="4707E9C8">
      <w:pPr>
        <w:rPr>
          <w:rFonts w:hint="default"/>
          <w:lang w:val="en-US" w:eastAsia="zh-CN"/>
        </w:rPr>
      </w:pPr>
    </w:p>
    <w:p w14:paraId="582C7C08">
      <w:pPr>
        <w:numPr>
          <w:ilvl w:val="0"/>
          <w:numId w:val="0"/>
        </w:numPr>
        <w:rPr>
          <w:rFonts w:hint="default" w:ascii="仿宋" w:hAnsi="仿宋" w:eastAsia="仿宋" w:cs="宋体"/>
          <w:color w:val="000000" w:themeColor="text1"/>
          <w:szCs w:val="2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B617"/>
    <w:multiLevelType w:val="singleLevel"/>
    <w:tmpl w:val="1E5FB6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60A68"/>
    <w:rsid w:val="0C321B11"/>
    <w:rsid w:val="0C471AB5"/>
    <w:rsid w:val="1D460A68"/>
    <w:rsid w:val="4C2335FF"/>
    <w:rsid w:val="4ED4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widowControl/>
      <w:spacing w:after="120"/>
      <w:jc w:val="left"/>
    </w:pPr>
    <w:rPr>
      <w:rFonts w:ascii="仿宋" w:hAnsi="仿宋" w:eastAsia="仿宋" w:cs="宋体"/>
      <w:b/>
      <w:color w:val="000000"/>
      <w:kern w:val="0"/>
      <w:sz w:val="24"/>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2260</Words>
  <Characters>2294</Characters>
  <Lines>0</Lines>
  <Paragraphs>0</Paragraphs>
  <TotalTime>3</TotalTime>
  <ScaleCrop>false</ScaleCrop>
  <LinksUpToDate>false</LinksUpToDate>
  <CharactersWithSpaces>2294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2025-08-26T01:44:00Z</dcterms:created>
  <dc:creator>风狩</dc:creator>
  <cp:lastModifiedBy>风狩</cp:lastModifiedBy>
  <dcterms:modified xsi:type="dcterms:W3CDTF">2025-08-26T03:32:02Z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65FF010B0657448B8291D45FA102691A_11</vt:lpwstr>
  </property>
  <property fmtid="{D5CDD505-2E9C-101B-9397-08002B2CF9AE}" pid="4" name="KSOTemplateDocerSaveRecord">
    <vt:lpwstr>eyJoZGlkIjoiZWI4MDU4NDYzYjg1OTBiZDI4ZWRhNjlmMzhhOWFjYzUiLCJ1c2VySWQiOiIxMzM5OTc2NTc5In0=</vt:lpwstr>
  </property>
</Properties>
</file>