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4EE7">
      <w:pPr>
        <w:pStyle w:val="18"/>
        <w:numPr>
          <w:ilvl w:val="0"/>
          <w:numId w:val="0"/>
        </w:numPr>
        <w:ind w:leftChars="0"/>
        <w:jc w:val="center"/>
        <w:outlineLvl w:val="0"/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  <w:shd w:val="clear" w:color="auto" w:fill="auto"/>
          <w:lang w:val="en-US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数字化名中医诊室建设服务采购项目需求概况</w:t>
      </w:r>
    </w:p>
    <w:p w14:paraId="289D4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rPr>
          <w:rFonts w:hint="eastAsia" w:ascii="仿宋" w:hAnsi="仿宋" w:eastAsia="仿宋" w:cs="仿宋"/>
          <w:color w:val="auto"/>
          <w:sz w:val="22"/>
          <w:highlight w:val="none"/>
        </w:rPr>
      </w:pPr>
    </w:p>
    <w:p w14:paraId="460DCA82">
      <w:pPr>
        <w:pStyle w:val="2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围绕中医药传承创新发展战略，依托“环南昆山-罗浮山名中医工作室”及“一镇一名医”工作室核心资源，以名中医经验传承为核心，融合数字化、智能化技术手段，打造集“智能诊疗辅助、经验实时沉淀、远程传承教学、数据安全管理”于一体的数字化名老中医诊室，推动区域中医药诊疗标准化、传承数字化、人才培养高效化，助力公立医院高质量发展与智慧医疗建设。</w:t>
      </w:r>
    </w:p>
    <w:p w14:paraId="71FDB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一、建设服务清单：</w:t>
      </w:r>
      <w:bookmarkStart w:id="0" w:name="_Toc482544234"/>
      <w:bookmarkStart w:id="1" w:name="_Toc8586"/>
    </w:p>
    <w:p w14:paraId="629CC71C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1、包1需求</w:t>
      </w:r>
    </w:p>
    <w:bookmarkEnd w:id="0"/>
    <w:bookmarkEnd w:id="1"/>
    <w:tbl>
      <w:tblPr>
        <w:tblStyle w:val="13"/>
        <w:tblW w:w="10650" w:type="dxa"/>
        <w:tblInd w:w="-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966"/>
        <w:gridCol w:w="6200"/>
        <w:gridCol w:w="750"/>
        <w:gridCol w:w="817"/>
      </w:tblGrid>
      <w:tr w14:paraId="36F1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2" w:name="_Toc29773"/>
            <w:bookmarkStart w:id="3" w:name="_Toc482544236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具体的参数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70B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5E4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高性能医用电脑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A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内存容量≥16GB，硬盘容量≥2TB，分辨率1920*1080，处理器 intel i5及以上，屏幕尺寸23-28英寸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B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另购</w:t>
            </w:r>
          </w:p>
        </w:tc>
      </w:tr>
      <w:tr w14:paraId="06CE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诊疗辅助显示屏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4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32寸4K高清显示器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6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4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打印扫描一体机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双面无线远程打印，激光打印，支持黑白及彩色，自动双面打印，支持25页/分钟彩色扫描，端口USB，纸张输入容量50页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D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另购</w:t>
            </w:r>
          </w:p>
        </w:tc>
      </w:tr>
      <w:tr w14:paraId="4621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高拍仪(书籍扫描)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3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2300万以上像素 / A3幅面 / 免拆成册扫描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 曲面展平技术 / 支持直播推流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57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8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无线路由（网络设备）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F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wifi7+，覆盖200平信号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1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9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高清录播系统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(第一机位）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5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机：传感器CMOS，电子防抖，分辨率3840*2160，对焦方式：自动/手动，清晰度4K，存储方式：闪存式，像素：601万以上，取景器：电子取景器，传感器尺寸：全画幅，音效模式：立体声录制（要求与镜头、内存卡适配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F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7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高清录播系统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（第二机位）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A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APS-C画幅 / 4K录制 / 翻转屏 / 直播模式 / 人像美颜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4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0E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配套镜头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焦距28-70mm，适用机身类型单反，镜头类型标准变焦，最大光圈F2，画幅全画幅，2年保修（要求与相机、内存卡适配）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D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E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配套镜头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2年保修，焦距85mm，适用机身类型微单，镜头类型远摄定焦，最大光圈F1.4，画幅全画幅（要求与相机、内存卡适配）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F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BC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三脚架套装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D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三脚架套装：适用直播摄影摄像，脚架节数3节，云台类型液压云台，脚架+云台套装类型，展开高度1.6-1.7M，碳纤维材质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1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1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无线麦克风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射器形状方块型，产品类型一拖二，指向特征全指向/无指向，内录功能支出内录，适用场景Vlog单反录音摄像机专用，传输方式无线/有线，供电方式内置电池，连接方式蓝牙直插式，喇叭单位单喇叭，接收器RX屏幕显示屏，支持APP调参，边充边用，带充电仓，连接主体手机相机/摄像机笔记本接收器接口Type-CLightning3.5mm TRS接口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22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E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相机内存卡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读取速度250MB/s,SD卡，容量256GB,写入速度170MB/s,适用相机，速度V30U3（要求与镜头、相机适配）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1D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D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便携式相机内存卡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E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读取速度200MB/s,TF（Micro SD）卡，容量256GB,写入速度160MB/s,适用手机行车记录仪switch平板，速度V3A2V30class10（要求与便携式录播相机适配）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C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9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便携仪录播相机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7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传感器类型CMOS，液晶屏尺寸2英寸，传感器尺寸1英寸，像素3000-4000万，镜头最大光圈F2，标准ISO感光度 ISO 50-12800，拍摄性能自拍机身防抖延时拍摄可遥控，视频拍摄能力4K 60P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8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9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主光源-影视灯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C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150-300W / CRI≥96 / 5600K色温 / 含标准罩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D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6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主光源-柔光箱套装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深口柔光箱 / 2米以上灯架 / 快装设计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40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8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面光灯-环形补光灯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8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45-55cm / 三脚架落地 / 亮度可调 / 暖白光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C0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2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LED面板补光灯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6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双色温 / 可手持或支架 / 轻便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3F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7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灯光折叠支架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2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适用机型L288支架，灯光配件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E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C6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学术展示设备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B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1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另购</w:t>
            </w:r>
          </w:p>
        </w:tc>
      </w:tr>
      <w:tr w14:paraId="7143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类型LCD，前置摄像头900W像素，后置摄像头1300W像素，厚度7mm以下，屏幕尺寸12-14英寸，屏幕大小12-14寸，可触屏，12寸-14寸，运行内存8GB，存储内存256GB，分辨率3200*2136，屏幕分辨率3.2K，电池容量12450mAh，屏幕比例3: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A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F579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</w:pPr>
    </w:p>
    <w:p w14:paraId="15D9C6DE">
      <w:pPr>
        <w:pStyle w:val="2"/>
        <w:rPr>
          <w:rFonts w:hint="default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2、包2需求</w:t>
      </w:r>
    </w:p>
    <w:bookmarkEnd w:id="2"/>
    <w:bookmarkEnd w:id="3"/>
    <w:tbl>
      <w:tblPr>
        <w:tblStyle w:val="13"/>
        <w:tblW w:w="10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250"/>
        <w:gridCol w:w="1133"/>
        <w:gridCol w:w="5817"/>
        <w:gridCol w:w="843"/>
        <w:gridCol w:w="716"/>
      </w:tblGrid>
      <w:tr w14:paraId="68D1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81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A7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69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4D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具需求描述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78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43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637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C4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5A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视频会议主机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D8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机房建设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F0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集成CMS、CRS、MCU、GK、直播、存储六大服务于一体，插卡式模块设计，支持7*24小时连续工作；支持ITU-T H.323、IETF SIP协议，兼容多设备混合入会；带宽支持64Kbps-8Mbps，支持CIF、4CIF、720P、1080P、4K30fps视频分辨率；支持H.263、H.264、H.265视频编解码协议，G.711、G.722、OPUS等音频编解码协议；单机支持4组物理会议，32路以上并发4K用户同时接入，20个虚拟会议；可实现1000以上用户入会；标配≥200GB存储空间；支持实时字幕功能，实时字幕支持中文普通话和中英文混合语音识别；支持B/S架构web管理，分级分权管理功能；内置会议录制、直播、电视墙输出功能，支持国密算法加密，双网口备份，板卡冗余备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79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EF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4C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54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E2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AI智慧视频终端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B8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大会议室(主控)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ED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式4K高清视频会议终端，支持H.265技术，超低带宽实现4K60效果；支持H.323、SIP标准协议，H.239、BFCP双流协议，主辅流均可达到4K30fps；呼叫带宽64Kbps-8Mbps，支持全分辨率视频信号输入输出；支持2.4G无线鼠标键盘接入，多画面布局自定义；B/S管理架构，支持web远程管理，白名单安全功能，国产嵌入式Linux系统设计，内置电子白板、会议文字转写、文件共享功能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E9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E9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B3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25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EE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超高清会议摄像机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3A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大会议室(主控)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20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1/2.5英寸800万以上像素UHD CMOS传感器，实现4K@30fps超高分辨率图像；12倍光学变焦；支持HDMI、3G-SDI、USB多接口同时输出；支持2D/3D降噪算法，低照度下画面清晰；支持RS232、网络、USB多种控制方式，图像自动翻转功能，255个预置位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4B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CC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91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3C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CC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利旧扩声系统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AC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大会议室(主控)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BC7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复用医院现有调音台、音箱、处理器、显示器等设备，实现主会场音频扩声、视频画面显示功能，适配视频会议终端音频输出接口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3E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8C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91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A3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05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ED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大会议室(主控)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912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第十代英特尔酷睿i5，台式电脑整机（I5-105008G1TWin10）21.5英寸，用于主会场会议控制、会议管理、数据共享操作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26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E5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另购</w:t>
            </w:r>
          </w:p>
        </w:tc>
      </w:tr>
      <w:tr w14:paraId="7976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24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9F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全向麦克风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E5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讨论室(分控)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DB3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搭载AI音频算法，消除回声、背景噪声、混响；360°全方向拾音，有效拾音距离2-10米，可级联4个扩展麦克风；智能麦克风自动寻向技术；支持USB即插即用；具备接通、挂断、音量、静音快捷按键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28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45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01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7B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82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电脑端视频会议软件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4B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软件终端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1F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支持Windows系统接入，实现视频会议全功能，支持屏幕共享、文件共享、电子白板、会议录制等功能，适配院内办公电脑接入，满足各科室分会场参会需求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E3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24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F7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5E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BD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安卓平板端视频会议软件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C5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软件终端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3A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支持安卓系统接入，实现移动会诊、远程参会功能，适配安卓平板设备，满足医护人员移动办公、床边会诊需求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29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E9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549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A2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E2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安卓手机端视频会议软件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0D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软件终端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1D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支持安卓系统接入，实现移动会诊、应急急救、远程参会功能，适配安卓手机设备，满足户外急救、移动查房等场景需求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E3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7F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91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AD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7D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AI服务器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26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高性能AI工作站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8FE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GPU工作站+NAS一体机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i7/R9CPU/RTXPRO4000GPU24G/64GB内存/固态SSD2TB以上PCIe4.0/多硬盘位(4盘位SAS)以上/硬盘8TB储存以上/电源1200W以上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D8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AE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C2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91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5E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专家流派教育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58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在线教育模块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70B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1.平台分层架构设计，确保支持高并发、专业级数据准确性及多端平滑呈现；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2.支持我的课程、可视化知识图谱画布、AI原生工作台、教师备课工作台及学情统计看板；支持多端访问，界面流畅响应；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3.业务功能具备课程管理、图谱联动、AI智能问答决策、智能批改与作业分发等核心业务；业务逻辑完整，接口规范；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4.支持大模型角色扮演控、RAG中间件、知识图谱图数据库推理引擎、教育核心素养多维评测模型；AI能力可插拔，扩展性强；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5.支持多知识库、核心素养图谱及学情行为日志；数据存储安全可靠，支持大数据量；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13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50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5D5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06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83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D3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课程与教学模块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D7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1.支持树状课程目录（章节-知识点）；允许教师将特定知识点标记为"未决知识点(Pending)"进行动态教学调整；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2.支持一键下发课件、作业与考试；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3.目录支持至少4级纵深；标记"未决"的知识点在学生端不予显示，激活后方可同步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4.系统支持根据视频观看时长、讨论区发言频次、作业成绩、面授课出勤率等多个维度进行加权综合打分，并实时生成班级成绩直方图；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5.权重配置总和须为100%；统计看板更新延迟&gt;3秒；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6.支持结课策略配置、多模式防作弊机制、内容限时分发及学生激活/分组管理；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7.支持防作弊，支持需切屏检测及随机乱序出题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3F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13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F3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64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3F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知识图谱管理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2D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多维图谱画布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及运行看板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AA8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系统支持三大图谱视图无缝切换：1.知识图谱：展示学科知识点的从属与关联网；2.能力图谱：定义知识点对应的实际应用能力；3.素养图谱：映射文化理解、分析论证、创新思维、有效表达、协同合作等教育核心素养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2.支持大规模节点流畅缩放、拖拽与高亮；单击任一节点可展示其在三种视图下的映射路径；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3.支持全局监控平台图谱健康度，实时统计全站图谱总数、覆盖知识点总量、关联教学班级数及累计辐射学生数；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4.数据看板支持全量定时刷新与图表导出；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16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CA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05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23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0E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AI应用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9F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智能学伴模块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164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1.支持全天候对话；支持大模型角色扮演(Persona)机制，内置多款人设；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2.支持集成语音播报(TTS)，支持多档语速调控，角色切换后，AI输出的措辞语气需明显改变；语音播报无明显机械断句；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3.支持模型一键自动生成包含单选题、填空题、辨析题、名词解释、论述题的完整试卷及配套解析；同时自动抽提"核心10分钟"教学方案；题目生成的知识点覆盖率不低于90%；试卷可直接导出或一键发布作业；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4.支持针对医学论文、病案分析等文本进行多标准打分；允许教师配置AI点拨方式(直白式/启发式)与点拨风格(专业/鼓励/幽默)；AI自动输出细致的维度得分及修改建议；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5.支持"输入一句话"进行全库检索；自动聚合中医药电子教材、专业论文、临床医案等异构资源，呈现检索结果、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检索结果须标明具体文献/医案出处；总结卡片支持一键收藏至备课本；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6.支持提示词(Prompt)管理工作台；内置高价值固定指令：AI智能画图提示词生成、AI公文助理、思维导图一键生成、高频错题深度解析等；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7.支持教师自定义并共享指令，指令的分类、标签和搜索；师生快速唤醒指令；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3E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8C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F9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C4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97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教学资源管理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86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教学资源模块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7F4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1.支持教学团队上传、分类管理多媒体素材；支持PDF、Word、PPT、MP4、MP3及图片等主流异构数据；提供一键文本化(OCR/语音转文字)能力，以便大模型读取；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2.支持视频支持断点续传与多码率流畅播放；OCR识别准确率在标准文本下≧95%；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3.支持按知识图谱节点、难度系数、核心素养维度进行打标与快速组卷；支持与大模型备课助手双向互通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26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4A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4E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C5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90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非功能性需求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09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数据安全-专业内容脱敏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D99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涉及临床真实医案数据入库或供大模型训练、检索时，系统必须自动对患者隐私信息(姓名、身份证号、敏感病历号等)进行前置脱敏与匿名化处理；脱敏处理自动化率100%，不留痕个人信息；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95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18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F6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50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9B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E7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数据安全-传输加密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6B8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全站涉及大模型API请求、用户身份凭证及学情数据交互，必须采用HTTPS/WSS及TLS1.3协议加密传输ll全站强制HTTPS，关键API使用TLS1.3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A6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50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6B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8A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C7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4A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性能-并发与延迟控制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A8F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知识图谱多维画布在大节点量(&gt;5000个节点)下拖拽无卡顿(帧率≥50fps)；大模型单次交互的流式响应(Stream)首字延迟必须控制在1.5秒以内；帧率≥50fps，首字延迟≤1.5秒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8F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CF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0C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10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8D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DB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可靠性-高可用性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886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核心教务管理与资源库系统需部署高可用集群，整体可用性指标达到99.9%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年度停机时间&lt;9小时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2E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70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1F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1D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F1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多画面轮询与语音激励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D5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MCU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E02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支持多画面轮询，可设置轮询窗口和时间；语音激励自动切换发言者为主画面，适合教学讨论场景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F9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90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2C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83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DE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断线重邀与网络自适应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9D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MCU/终端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0CC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支持断线自动重邀，网络丢包30%仍保持清晰流畅，80%丢包声音可理解，保障教学连续性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0E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9D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47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EC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BD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会控管理功能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E1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会管平台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887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支持主席控制、布局切换、静音/闭音、发言权管理、远程摄像机控制，便于教学组织者灵活管理课堂秩序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EE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AC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7D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32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77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数据统计与资源监控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EF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运维模块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F26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支持CPU/内存/磁盘使用率图表统计，可查看在线学员数、会议时长、录制状态等，便于教学资源调度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F5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DF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61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50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91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安全加密与权限管理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A2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BE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支持AES/SM3/SM4加密，分级分权管理，会议密码、直播密码、管理员密码保护，防止非授权访问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F7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89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2F52AD8">
      <w:pPr>
        <w:pStyle w:val="2"/>
        <w:rPr>
          <w:rFonts w:hint="eastAsia"/>
        </w:rPr>
      </w:pPr>
    </w:p>
    <w:p w14:paraId="3D9E3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</w:pPr>
      <w:bookmarkStart w:id="4" w:name="_Toc482544238"/>
      <w:bookmarkStart w:id="5" w:name="_Toc32384"/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服务形式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及要求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</w:rPr>
        <w:t>：</w:t>
      </w:r>
    </w:p>
    <w:p w14:paraId="331C5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3.1服务要求</w:t>
      </w:r>
    </w:p>
    <w:p w14:paraId="12DF5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（1）服务期内要求：供应商在双方协商规定的时间内解决院方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  <w:t>远程教育培训系统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平台中出现的问题，并且保证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  <w:t>远程教育培训系统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平台的安全稳定运行。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（2）人员服务：供应商提供服务人员至少1名，协调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  <w:t>远程教育培训系统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平台等配套系统和设备问题的相关事宜。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（3）软件、硬件维护要求：供应商专业技术负责人负责与院方协调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eastAsia="zh-CN"/>
        </w:rPr>
        <w:t>远程教育培训系统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平台等配套系统和设备故障的相关事宜，发现问题及时处理；响应时间为：7天×24小时的电话响应与支持；当不在日常工作时间发现问题时，不能远程解决问题时供应商专业技术负责人应1小时内到现场解决。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（4）紧急情况处理：遇到医院业务系统紧急情况，供应商服务人员未能及时处理，务必安排有经验的工程师协助院方紧急处理。</w:t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8"/>
          <w:szCs w:val="24"/>
          <w:highlight w:val="none"/>
          <w:lang w:val="en-US" w:eastAsia="zh-CN"/>
        </w:rPr>
        <w:t>（5）巡检服务：提供本系统每季度一次软件、硬件的巡检服务，进行保养性维护。提供的巡检服务内容包括本系统的性能检查、系统保养和日常维护等。</w:t>
      </w:r>
    </w:p>
    <w:bookmarkEnd w:id="4"/>
    <w:bookmarkEnd w:id="5"/>
    <w:p w14:paraId="37775E5C">
      <w:pPr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17390">
    <w:pPr>
      <w:pStyle w:val="10"/>
      <w:jc w:val="center"/>
      <w:rPr>
        <w:rFonts w:ascii="宋体" w:hAnsi="宋体" w:eastAsia="宋体"/>
        <w:sz w:val="21"/>
        <w:szCs w:val="21"/>
      </w:rPr>
    </w:pPr>
    <w:r>
      <w:rPr>
        <w:rFonts w:ascii="宋体" w:hAnsi="宋体" w:eastAsia="宋体"/>
        <w:sz w:val="21"/>
        <w:szCs w:val="21"/>
        <w:lang w:val="zh-CN"/>
      </w:rPr>
      <w:fldChar w:fldCharType="begin"/>
    </w:r>
    <w:r>
      <w:rPr>
        <w:rFonts w:ascii="宋体" w:hAnsi="宋体" w:eastAsia="宋体"/>
        <w:sz w:val="21"/>
        <w:szCs w:val="21"/>
        <w:lang w:val="zh-CN"/>
      </w:rPr>
      <w:instrText xml:space="preserve"> PAGE   \* MERGEFORMAT </w:instrText>
    </w:r>
    <w:r>
      <w:rPr>
        <w:rFonts w:ascii="宋体" w:hAnsi="宋体" w:eastAsia="宋体"/>
        <w:sz w:val="21"/>
        <w:szCs w:val="21"/>
        <w:lang w:val="zh-CN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1</w:t>
    </w:r>
    <w:r>
      <w:rPr>
        <w:rFonts w:ascii="宋体" w:hAnsi="宋体" w:eastAsia="宋体"/>
        <w:sz w:val="21"/>
        <w:szCs w:val="21"/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14DAA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945BE"/>
    <w:rsid w:val="016320EC"/>
    <w:rsid w:val="01C506B1"/>
    <w:rsid w:val="05D37841"/>
    <w:rsid w:val="068B693D"/>
    <w:rsid w:val="06B62CBE"/>
    <w:rsid w:val="08332819"/>
    <w:rsid w:val="0AE53B72"/>
    <w:rsid w:val="0BA42068"/>
    <w:rsid w:val="0D85657B"/>
    <w:rsid w:val="0E750A47"/>
    <w:rsid w:val="0E9D6C3E"/>
    <w:rsid w:val="0F04011D"/>
    <w:rsid w:val="0FAB68FC"/>
    <w:rsid w:val="10583CE4"/>
    <w:rsid w:val="10D22406"/>
    <w:rsid w:val="1106656D"/>
    <w:rsid w:val="15BB17BE"/>
    <w:rsid w:val="18E70B31"/>
    <w:rsid w:val="19464B08"/>
    <w:rsid w:val="19F050D1"/>
    <w:rsid w:val="1B32291B"/>
    <w:rsid w:val="1C515415"/>
    <w:rsid w:val="1D0078EE"/>
    <w:rsid w:val="1D2800F7"/>
    <w:rsid w:val="1DED3012"/>
    <w:rsid w:val="1E4A36CA"/>
    <w:rsid w:val="1F0E1492"/>
    <w:rsid w:val="280B1074"/>
    <w:rsid w:val="2C295C80"/>
    <w:rsid w:val="2C495ADA"/>
    <w:rsid w:val="2DBE0968"/>
    <w:rsid w:val="2E0B52AE"/>
    <w:rsid w:val="304A6A36"/>
    <w:rsid w:val="30FD6671"/>
    <w:rsid w:val="31A46A9F"/>
    <w:rsid w:val="34022802"/>
    <w:rsid w:val="34EE16F2"/>
    <w:rsid w:val="370945BE"/>
    <w:rsid w:val="376E439C"/>
    <w:rsid w:val="39795D7C"/>
    <w:rsid w:val="3DE03852"/>
    <w:rsid w:val="40132928"/>
    <w:rsid w:val="47EC1AC1"/>
    <w:rsid w:val="48BA1BBF"/>
    <w:rsid w:val="4BBD5522"/>
    <w:rsid w:val="4D170EF4"/>
    <w:rsid w:val="4F91794F"/>
    <w:rsid w:val="50591CBD"/>
    <w:rsid w:val="5316015D"/>
    <w:rsid w:val="557D644E"/>
    <w:rsid w:val="56660C90"/>
    <w:rsid w:val="56C068F3"/>
    <w:rsid w:val="57BF4B4F"/>
    <w:rsid w:val="58DC348C"/>
    <w:rsid w:val="591B2EF6"/>
    <w:rsid w:val="5B804B1C"/>
    <w:rsid w:val="5B977B3E"/>
    <w:rsid w:val="5CE9261B"/>
    <w:rsid w:val="5D77646A"/>
    <w:rsid w:val="5ED42BA2"/>
    <w:rsid w:val="5F2B0CC9"/>
    <w:rsid w:val="5F9A5E4E"/>
    <w:rsid w:val="5FAB2300"/>
    <w:rsid w:val="61243C22"/>
    <w:rsid w:val="62F12662"/>
    <w:rsid w:val="664B7EA3"/>
    <w:rsid w:val="670D609A"/>
    <w:rsid w:val="67FC223D"/>
    <w:rsid w:val="69E161EB"/>
    <w:rsid w:val="6AEB2168"/>
    <w:rsid w:val="6CF74973"/>
    <w:rsid w:val="6ECD68D4"/>
    <w:rsid w:val="6EF2710D"/>
    <w:rsid w:val="7047792D"/>
    <w:rsid w:val="70891CF3"/>
    <w:rsid w:val="714B51FB"/>
    <w:rsid w:val="75BD75D6"/>
    <w:rsid w:val="780E0011"/>
    <w:rsid w:val="78542BE7"/>
    <w:rsid w:val="7C4A0600"/>
    <w:rsid w:val="7DFBFF04"/>
    <w:rsid w:val="7F4C4618"/>
    <w:rsid w:val="EFA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7">
    <w:name w:val="Normal Indent"/>
    <w:basedOn w:val="1"/>
    <w:qFormat/>
    <w:uiPriority w:val="0"/>
    <w:pPr>
      <w:ind w:firstLine="420"/>
    </w:pPr>
    <w:rPr>
      <w:szCs w:val="20"/>
    </w:rPr>
  </w:style>
  <w:style w:type="paragraph" w:styleId="8">
    <w:name w:val="Body Text Indent"/>
    <w:basedOn w:val="1"/>
    <w:next w:val="9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262626"/>
      <w:sz w:val="18"/>
      <w:szCs w:val="18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262626"/>
      <w:sz w:val="18"/>
      <w:szCs w:val="18"/>
      <w:u w:val="none"/>
    </w:rPr>
  </w:style>
  <w:style w:type="character" w:customStyle="1" w:styleId="23">
    <w:name w:val="font31"/>
    <w:basedOn w:val="15"/>
    <w:qFormat/>
    <w:uiPriority w:val="0"/>
    <w:rPr>
      <w:rFonts w:hint="eastAsia" w:ascii="宋体" w:hAnsi="宋体" w:eastAsia="宋体" w:cs="宋体"/>
      <w:color w:val="0F1115"/>
      <w:sz w:val="22"/>
      <w:szCs w:val="22"/>
      <w:u w:val="none"/>
    </w:rPr>
  </w:style>
  <w:style w:type="character" w:customStyle="1" w:styleId="24">
    <w:name w:val="font4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4635</Words>
  <Characters>5384</Characters>
  <Lines>0</Lines>
  <Paragraphs>0</Paragraphs>
  <TotalTime>1</TotalTime>
  <ScaleCrop>false</ScaleCrop>
  <LinksUpToDate>false</LinksUpToDate>
  <CharactersWithSpaces>5430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2025-05-07T00:48:00Z</dcterms:created>
  <dc:creator>滴滴</dc:creator>
  <cp:lastModifiedBy>涛记</cp:lastModifiedBy>
  <cp:lastPrinted>2025-08-27T18:11:00Z</cp:lastPrinted>
  <dcterms:modified xsi:type="dcterms:W3CDTF">2026-07-07T13:30:46Z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B86B8752F70EB8A5A6C74B6AD4D8E191_43</vt:lpwstr>
  </property>
  <property fmtid="{D5CDD505-2E9C-101B-9397-08002B2CF9AE}" pid="4" name="KSOTemplateDocerSaveRecord">
    <vt:lpwstr>eyJoZGlkIjoiNzUwZjVmMWFhNjNjMTY2MDAxMzI3MjIwYjAwMDliZmYiLCJ1c2VySWQiOiIyOTE5Nzk0ODEifQ==</vt:lpwstr>
  </property>
</Properties>
</file>