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2C4EE7">
      <w:pPr>
        <w:pStyle w:val="18"/>
        <w:numPr>
          <w:ilvl w:val="0"/>
          <w:numId w:val="0"/>
        </w:numPr>
        <w:ind w:leftChars="0"/>
        <w:jc w:val="center"/>
        <w:outlineLvl w:val="0"/>
        <w:rPr>
          <w:rFonts w:hint="eastAsia" w:ascii="黑体" w:hAnsi="黑体" w:eastAsia="黑体" w:cs="黑体"/>
          <w:b/>
          <w:color w:val="auto"/>
          <w:sz w:val="48"/>
          <w:szCs w:val="48"/>
          <w:highlight w:val="none"/>
          <w:shd w:val="clear" w:color="auto" w:fill="auto"/>
          <w:lang w:val="en-US"/>
        </w:rPr>
      </w:pPr>
      <w:r>
        <w:rPr>
          <w:rFonts w:hint="eastAsia" w:ascii="黑体" w:hAnsi="黑体" w:eastAsia="黑体" w:cs="黑体"/>
          <w:b/>
          <w:color w:val="auto"/>
          <w:sz w:val="48"/>
          <w:szCs w:val="48"/>
          <w:highlight w:val="none"/>
          <w:shd w:val="clear" w:color="auto" w:fill="auto"/>
          <w:lang w:val="en-US" w:eastAsia="zh-CN"/>
        </w:rPr>
        <w:t>中医药文化宣传工作室设备升级需求概况</w:t>
      </w:r>
    </w:p>
    <w:p w14:paraId="289D4953">
      <w:pPr>
        <w:keepNext w:val="0"/>
        <w:keepLines w:val="0"/>
        <w:pageBreakBefore w:val="0"/>
        <w:kinsoku/>
        <w:wordWrap/>
        <w:overflowPunct/>
        <w:topLinePunct w:val="0"/>
        <w:autoSpaceDE/>
        <w:autoSpaceDN/>
        <w:bidi w:val="0"/>
        <w:adjustRightInd/>
        <w:snapToGrid/>
        <w:spacing w:line="380" w:lineRule="exact"/>
        <w:ind w:firstLine="440" w:firstLineChars="200"/>
        <w:rPr>
          <w:rFonts w:hint="eastAsia" w:ascii="宋体" w:hAnsi="宋体" w:eastAsia="宋体" w:cs="宋体"/>
          <w:color w:val="auto"/>
          <w:sz w:val="22"/>
          <w:highlight w:val="none"/>
        </w:rPr>
      </w:pPr>
    </w:p>
    <w:p w14:paraId="49A2DF23">
      <w:pPr>
        <w:pStyle w:val="7"/>
        <w:ind w:firstLine="560" w:firstLineChars="20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 xml:space="preserve">为进一步加大医院宣传工作力度，讲好中医故事、传播医院形象、普及中医药健康知识，提升医院知名度与品牌影响力，医院宣传工作将以内容提质为核心，依托医院中医药文化宣传工作室，将健康科普直播列为常态化工作。定期开展线上中医药健康科普直播，围绕直播内容进行二次加工，批量制作系列科普短视频、图文推文。 </w:t>
      </w:r>
    </w:p>
    <w:p w14:paraId="3A7CA8D1">
      <w:pPr>
        <w:pStyle w:val="7"/>
        <w:ind w:firstLine="560" w:firstLineChars="200"/>
        <w:rPr>
          <w:rFonts w:hint="eastAsia" w:ascii="宋体" w:hAnsi="宋体" w:eastAsia="宋体" w:cs="宋体"/>
          <w:color w:val="auto"/>
          <w:kern w:val="2"/>
          <w:sz w:val="28"/>
          <w:szCs w:val="28"/>
          <w:highlight w:val="none"/>
          <w:lang w:val="en-US" w:eastAsia="zh-CN" w:bidi="ar-SA"/>
        </w:rPr>
      </w:pPr>
      <w:r>
        <w:rPr>
          <w:rFonts w:hint="eastAsia" w:ascii="宋体" w:hAnsi="宋体" w:eastAsia="宋体" w:cs="宋体"/>
          <w:color w:val="auto"/>
          <w:kern w:val="2"/>
          <w:sz w:val="28"/>
          <w:szCs w:val="28"/>
          <w:highlight w:val="none"/>
          <w:lang w:val="en-US" w:eastAsia="zh-CN" w:bidi="ar-SA"/>
        </w:rPr>
        <w:t>目前中医药文化宣传工作室已具备隔音、无影墙、灯光氛围营造等硬性条件，但在直播硬件支持上，仍有较大短板。需在现有设备的基础上，升级相机、镜头、直播硬件、直播中枢、数据连接线等直播配套设施及拍摄设备，开展线上中医药健康科普直播。</w:t>
      </w:r>
    </w:p>
    <w:p w14:paraId="33AA1BCB">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4"/>
          <w:highlight w:val="none"/>
          <w:lang w:val="en-US" w:eastAsia="zh-CN"/>
        </w:rPr>
      </w:pPr>
      <w:r>
        <w:rPr>
          <w:rFonts w:hint="eastAsia" w:ascii="宋体" w:hAnsi="宋体" w:eastAsia="宋体" w:cs="宋体"/>
          <w:color w:val="auto"/>
          <w:kern w:val="0"/>
          <w:sz w:val="28"/>
          <w:szCs w:val="24"/>
          <w:highlight w:val="none"/>
          <w:lang w:val="en-US" w:eastAsia="zh-CN"/>
        </w:rPr>
        <w:t>一、清单如下：</w:t>
      </w:r>
      <w:bookmarkStart w:id="0" w:name="_Toc482544234"/>
      <w:bookmarkStart w:id="1" w:name="_Toc8586"/>
    </w:p>
    <w:bookmarkEnd w:id="0"/>
    <w:bookmarkEnd w:id="1"/>
    <w:tbl>
      <w:tblPr>
        <w:tblStyle w:val="19"/>
        <w:tblpPr w:leftFromText="180" w:rightFromText="180" w:vertAnchor="text" w:horzAnchor="page" w:tblpX="935" w:tblpY="599"/>
        <w:tblOverlap w:val="never"/>
        <w:tblW w:w="5072"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674"/>
        <w:gridCol w:w="1461"/>
        <w:gridCol w:w="6981"/>
        <w:gridCol w:w="1253"/>
      </w:tblGrid>
      <w:tr w14:paraId="4B4018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5" w:hRule="atLeast"/>
        </w:trPr>
        <w:tc>
          <w:tcPr>
            <w:tcW w:w="325" w:type="pct"/>
            <w:vAlign w:val="center"/>
          </w:tcPr>
          <w:p w14:paraId="64CAE9B7">
            <w:pPr>
              <w:pStyle w:val="20"/>
              <w:keepNext w:val="0"/>
              <w:keepLines w:val="0"/>
              <w:pageBreakBefore w:val="0"/>
              <w:widowControl w:val="0"/>
              <w:kinsoku/>
              <w:wordWrap/>
              <w:overflowPunct/>
              <w:topLinePunct w:val="0"/>
              <w:autoSpaceDE/>
              <w:autoSpaceDN/>
              <w:bidi w:val="0"/>
              <w:adjustRightInd/>
              <w:snapToGrid/>
              <w:spacing w:line="22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4"/>
                <w:sz w:val="21"/>
                <w:szCs w:val="21"/>
              </w:rPr>
              <w:t>序号</w:t>
            </w:r>
          </w:p>
        </w:tc>
        <w:tc>
          <w:tcPr>
            <w:tcW w:w="704" w:type="pct"/>
            <w:vAlign w:val="center"/>
          </w:tcPr>
          <w:p w14:paraId="11EF0840">
            <w:pPr>
              <w:pStyle w:val="20"/>
              <w:keepNext w:val="0"/>
              <w:keepLines w:val="0"/>
              <w:pageBreakBefore w:val="0"/>
              <w:widowControl w:val="0"/>
              <w:kinsoku/>
              <w:wordWrap/>
              <w:overflowPunct/>
              <w:topLinePunct w:val="0"/>
              <w:autoSpaceDE/>
              <w:autoSpaceDN/>
              <w:bidi w:val="0"/>
              <w:adjustRightInd/>
              <w:snapToGrid/>
              <w:spacing w:line="22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6"/>
                <w:sz w:val="21"/>
                <w:szCs w:val="21"/>
              </w:rPr>
              <w:t>名称</w:t>
            </w:r>
          </w:p>
        </w:tc>
        <w:tc>
          <w:tcPr>
            <w:tcW w:w="3365" w:type="pct"/>
            <w:vAlign w:val="center"/>
          </w:tcPr>
          <w:p w14:paraId="24A0AEB4">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参数</w:t>
            </w:r>
          </w:p>
        </w:tc>
        <w:tc>
          <w:tcPr>
            <w:tcW w:w="604" w:type="pct"/>
            <w:vAlign w:val="center"/>
          </w:tcPr>
          <w:p w14:paraId="5F392333">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pacing w:val="-5"/>
                <w:sz w:val="21"/>
                <w:szCs w:val="21"/>
              </w:rPr>
              <w:t>数量</w:t>
            </w:r>
          </w:p>
        </w:tc>
      </w:tr>
      <w:tr w14:paraId="55AB2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073" w:hRule="atLeast"/>
        </w:trPr>
        <w:tc>
          <w:tcPr>
            <w:tcW w:w="325" w:type="pct"/>
            <w:vAlign w:val="center"/>
          </w:tcPr>
          <w:p w14:paraId="514D62B0">
            <w:pPr>
              <w:keepNext w:val="0"/>
              <w:keepLines w:val="0"/>
              <w:pageBreakBefore w:val="0"/>
              <w:widowControl w:val="0"/>
              <w:kinsoku/>
              <w:wordWrap/>
              <w:overflowPunct/>
              <w:topLinePunct w:val="0"/>
              <w:autoSpaceDE/>
              <w:autoSpaceDN/>
              <w:bidi w:val="0"/>
              <w:adjustRightInd/>
              <w:snapToGrid/>
              <w:spacing w:line="286" w:lineRule="auto"/>
              <w:ind w:left="0" w:right="0" w:firstLine="0"/>
              <w:jc w:val="center"/>
              <w:textAlignment w:val="auto"/>
              <w:rPr>
                <w:rFonts w:hint="eastAsia" w:ascii="宋体" w:hAnsi="宋体" w:eastAsia="宋体" w:cs="宋体"/>
                <w:sz w:val="21"/>
                <w:szCs w:val="21"/>
              </w:rPr>
            </w:pPr>
          </w:p>
          <w:p w14:paraId="34702A31">
            <w:pPr>
              <w:keepNext w:val="0"/>
              <w:keepLines w:val="0"/>
              <w:pageBreakBefore w:val="0"/>
              <w:widowControl w:val="0"/>
              <w:kinsoku/>
              <w:wordWrap/>
              <w:overflowPunct/>
              <w:topLinePunct w:val="0"/>
              <w:autoSpaceDE/>
              <w:autoSpaceDN/>
              <w:bidi w:val="0"/>
              <w:adjustRightInd/>
              <w:snapToGrid/>
              <w:spacing w:line="286" w:lineRule="auto"/>
              <w:ind w:left="0" w:right="0" w:firstLine="0"/>
              <w:jc w:val="center"/>
              <w:textAlignment w:val="auto"/>
              <w:rPr>
                <w:rFonts w:hint="eastAsia" w:ascii="宋体" w:hAnsi="宋体" w:eastAsia="宋体" w:cs="宋体"/>
                <w:sz w:val="21"/>
                <w:szCs w:val="21"/>
              </w:rPr>
            </w:pPr>
          </w:p>
          <w:p w14:paraId="57136399">
            <w:pPr>
              <w:keepNext w:val="0"/>
              <w:keepLines w:val="0"/>
              <w:pageBreakBefore w:val="0"/>
              <w:widowControl w:val="0"/>
              <w:kinsoku/>
              <w:wordWrap/>
              <w:overflowPunct/>
              <w:topLinePunct w:val="0"/>
              <w:autoSpaceDE/>
              <w:autoSpaceDN/>
              <w:bidi w:val="0"/>
              <w:adjustRightInd/>
              <w:snapToGrid/>
              <w:spacing w:line="286" w:lineRule="auto"/>
              <w:ind w:left="0" w:right="0" w:firstLine="0"/>
              <w:jc w:val="center"/>
              <w:textAlignment w:val="auto"/>
              <w:rPr>
                <w:rFonts w:hint="eastAsia" w:ascii="宋体" w:hAnsi="宋体" w:eastAsia="宋体" w:cs="宋体"/>
                <w:sz w:val="21"/>
                <w:szCs w:val="21"/>
              </w:rPr>
            </w:pPr>
          </w:p>
          <w:p w14:paraId="020E2F54">
            <w:pPr>
              <w:pStyle w:val="20"/>
              <w:keepNext w:val="0"/>
              <w:keepLines w:val="0"/>
              <w:pageBreakBefore w:val="0"/>
              <w:widowControl w:val="0"/>
              <w:kinsoku/>
              <w:wordWrap/>
              <w:overflowPunct/>
              <w:topLinePunct w:val="0"/>
              <w:autoSpaceDE/>
              <w:autoSpaceDN/>
              <w:bidi w:val="0"/>
              <w:adjustRightInd/>
              <w:snapToGrid/>
              <w:spacing w:line="24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704" w:type="pct"/>
            <w:vAlign w:val="center"/>
          </w:tcPr>
          <w:p w14:paraId="639ABF5E">
            <w:pPr>
              <w:pStyle w:val="20"/>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直播提词投屏</w:t>
            </w:r>
          </w:p>
        </w:tc>
        <w:tc>
          <w:tcPr>
            <w:tcW w:w="3365" w:type="pct"/>
            <w:vAlign w:val="center"/>
          </w:tcPr>
          <w:p w14:paraId="25A8EF9B">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屏幕尺寸≥85英寸；响应时间≤7ms；背光分区数≥1000级；色域值≥98% BT.709；峰值亮度≥2000尼特；屏幕分辨率≥4K；</w:t>
            </w:r>
          </w:p>
          <w:p w14:paraId="0F42B8A6">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CPU架构≥四核A73；运行内存≥4GB；存储内存≥64GB；</w:t>
            </w:r>
          </w:p>
          <w:p w14:paraId="5A9D475F">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1"/>
                <w:sz w:val="21"/>
                <w:szCs w:val="21"/>
              </w:rPr>
              <w:t>HDMI2.1接口≥2个；含配套移动支撑支架</w:t>
            </w:r>
            <w:bookmarkStart w:id="4" w:name="_GoBack"/>
            <w:bookmarkEnd w:id="4"/>
            <w:r>
              <w:rPr>
                <w:rFonts w:hint="eastAsia" w:ascii="宋体" w:hAnsi="宋体" w:eastAsia="宋体" w:cs="宋体"/>
                <w:spacing w:val="-1"/>
                <w:sz w:val="21"/>
                <w:szCs w:val="21"/>
              </w:rPr>
              <w:t>，含底</w:t>
            </w:r>
            <w:r>
              <w:rPr>
                <w:rFonts w:hint="eastAsia" w:ascii="宋体" w:hAnsi="宋体" w:eastAsia="宋体" w:cs="宋体"/>
                <w:spacing w:val="-2"/>
                <w:sz w:val="21"/>
                <w:szCs w:val="21"/>
              </w:rPr>
              <w:t>座重量34kg，</w:t>
            </w:r>
            <w:r>
              <w:rPr>
                <w:rFonts w:hint="eastAsia" w:ascii="宋体" w:hAnsi="宋体" w:eastAsia="宋体" w:cs="宋体"/>
                <w:sz w:val="21"/>
                <w:szCs w:val="21"/>
              </w:rPr>
              <w:t>含底座尺寸宽1889mm 高1153mm 厚375mm，裸机尺寸（不含底</w:t>
            </w:r>
            <w:r>
              <w:rPr>
                <w:rFonts w:hint="eastAsia" w:ascii="宋体" w:hAnsi="宋体" w:eastAsia="宋体" w:cs="宋体"/>
                <w:spacing w:val="-1"/>
                <w:sz w:val="21"/>
                <w:szCs w:val="21"/>
              </w:rPr>
              <w:t>座）宽1889mm 高1084mm</w:t>
            </w:r>
            <w:r>
              <w:rPr>
                <w:rFonts w:hint="eastAsia" w:ascii="宋体" w:hAnsi="宋体" w:eastAsia="宋体" w:cs="宋体"/>
                <w:spacing w:val="17"/>
                <w:sz w:val="21"/>
                <w:szCs w:val="21"/>
              </w:rPr>
              <w:t xml:space="preserve"> </w:t>
            </w:r>
            <w:r>
              <w:rPr>
                <w:rFonts w:hint="eastAsia" w:ascii="宋体" w:hAnsi="宋体" w:eastAsia="宋体" w:cs="宋体"/>
                <w:spacing w:val="-1"/>
                <w:sz w:val="21"/>
                <w:szCs w:val="21"/>
              </w:rPr>
              <w:t>厚63mm</w:t>
            </w:r>
          </w:p>
        </w:tc>
        <w:tc>
          <w:tcPr>
            <w:tcW w:w="604" w:type="pct"/>
            <w:vAlign w:val="center"/>
          </w:tcPr>
          <w:p w14:paraId="3811B5C0">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BDCA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14" w:hRule="atLeast"/>
        </w:trPr>
        <w:tc>
          <w:tcPr>
            <w:tcW w:w="325" w:type="pct"/>
            <w:vAlign w:val="center"/>
          </w:tcPr>
          <w:p w14:paraId="5B59DF7C">
            <w:pPr>
              <w:keepNext w:val="0"/>
              <w:keepLines w:val="0"/>
              <w:pageBreakBefore w:val="0"/>
              <w:widowControl w:val="0"/>
              <w:kinsoku/>
              <w:wordWrap/>
              <w:overflowPunct/>
              <w:topLinePunct w:val="0"/>
              <w:autoSpaceDE/>
              <w:autoSpaceDN/>
              <w:bidi w:val="0"/>
              <w:adjustRightInd/>
              <w:snapToGrid/>
              <w:spacing w:line="282" w:lineRule="auto"/>
              <w:ind w:left="0" w:right="0" w:firstLine="0"/>
              <w:jc w:val="center"/>
              <w:textAlignment w:val="auto"/>
              <w:rPr>
                <w:rFonts w:hint="eastAsia" w:ascii="宋体" w:hAnsi="宋体" w:eastAsia="宋体" w:cs="宋体"/>
                <w:sz w:val="21"/>
                <w:szCs w:val="21"/>
              </w:rPr>
            </w:pPr>
          </w:p>
          <w:p w14:paraId="0A7B4E78">
            <w:pPr>
              <w:keepNext w:val="0"/>
              <w:keepLines w:val="0"/>
              <w:pageBreakBefore w:val="0"/>
              <w:widowControl w:val="0"/>
              <w:kinsoku/>
              <w:wordWrap/>
              <w:overflowPunct/>
              <w:topLinePunct w:val="0"/>
              <w:autoSpaceDE/>
              <w:autoSpaceDN/>
              <w:bidi w:val="0"/>
              <w:adjustRightInd/>
              <w:snapToGrid/>
              <w:spacing w:line="283" w:lineRule="auto"/>
              <w:ind w:left="0" w:right="0" w:firstLine="0"/>
              <w:jc w:val="center"/>
              <w:textAlignment w:val="auto"/>
              <w:rPr>
                <w:rFonts w:hint="eastAsia" w:ascii="宋体" w:hAnsi="宋体" w:eastAsia="宋体" w:cs="宋体"/>
                <w:sz w:val="21"/>
                <w:szCs w:val="21"/>
              </w:rPr>
            </w:pPr>
          </w:p>
          <w:p w14:paraId="7596715C">
            <w:pPr>
              <w:keepNext w:val="0"/>
              <w:keepLines w:val="0"/>
              <w:pageBreakBefore w:val="0"/>
              <w:widowControl w:val="0"/>
              <w:kinsoku/>
              <w:wordWrap/>
              <w:overflowPunct/>
              <w:topLinePunct w:val="0"/>
              <w:autoSpaceDE/>
              <w:autoSpaceDN/>
              <w:bidi w:val="0"/>
              <w:adjustRightInd/>
              <w:snapToGrid/>
              <w:spacing w:line="283" w:lineRule="auto"/>
              <w:ind w:left="0" w:right="0" w:firstLine="0"/>
              <w:jc w:val="center"/>
              <w:textAlignment w:val="auto"/>
              <w:rPr>
                <w:rFonts w:hint="eastAsia" w:ascii="宋体" w:hAnsi="宋体" w:eastAsia="宋体" w:cs="宋体"/>
                <w:sz w:val="21"/>
                <w:szCs w:val="21"/>
              </w:rPr>
            </w:pPr>
          </w:p>
          <w:p w14:paraId="5192C237">
            <w:pPr>
              <w:keepNext w:val="0"/>
              <w:keepLines w:val="0"/>
              <w:pageBreakBefore w:val="0"/>
              <w:widowControl w:val="0"/>
              <w:kinsoku/>
              <w:wordWrap/>
              <w:overflowPunct/>
              <w:topLinePunct w:val="0"/>
              <w:autoSpaceDE/>
              <w:autoSpaceDN/>
              <w:bidi w:val="0"/>
              <w:adjustRightInd/>
              <w:snapToGrid/>
              <w:spacing w:line="283" w:lineRule="auto"/>
              <w:ind w:left="0" w:right="0" w:firstLine="0"/>
              <w:jc w:val="center"/>
              <w:textAlignment w:val="auto"/>
              <w:rPr>
                <w:rFonts w:hint="eastAsia" w:ascii="宋体" w:hAnsi="宋体" w:eastAsia="宋体" w:cs="宋体"/>
                <w:sz w:val="21"/>
                <w:szCs w:val="21"/>
              </w:rPr>
            </w:pPr>
          </w:p>
          <w:p w14:paraId="541262DC">
            <w:pPr>
              <w:pStyle w:val="20"/>
              <w:keepNext w:val="0"/>
              <w:keepLines w:val="0"/>
              <w:pageBreakBefore w:val="0"/>
              <w:widowControl w:val="0"/>
              <w:kinsoku/>
              <w:wordWrap/>
              <w:overflowPunct/>
              <w:topLinePunct w:val="0"/>
              <w:autoSpaceDE/>
              <w:autoSpaceDN/>
              <w:bidi w:val="0"/>
              <w:adjustRightInd/>
              <w:snapToGrid/>
              <w:spacing w:line="24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c>
          <w:tcPr>
            <w:tcW w:w="704" w:type="pct"/>
            <w:vAlign w:val="center"/>
          </w:tcPr>
          <w:p w14:paraId="48E209B7">
            <w:pPr>
              <w:pStyle w:val="20"/>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直播操控台</w:t>
            </w:r>
          </w:p>
        </w:tc>
        <w:tc>
          <w:tcPr>
            <w:tcW w:w="3365" w:type="pct"/>
            <w:vAlign w:val="center"/>
          </w:tcPr>
          <w:p w14:paraId="409A9F57">
            <w:pPr>
              <w:pStyle w:val="20"/>
              <w:keepNext w:val="0"/>
              <w:keepLines w:val="0"/>
              <w:pageBreakBefore w:val="0"/>
              <w:widowControl w:val="0"/>
              <w:kinsoku/>
              <w:wordWrap/>
              <w:overflowPunct/>
              <w:topLinePunct w:val="0"/>
              <w:autoSpaceDE/>
              <w:autoSpaceDN/>
              <w:bidi w:val="0"/>
              <w:adjustRightInd/>
              <w:snapToGrid/>
              <w:spacing w:line="226"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2"/>
                <w:sz w:val="21"/>
                <w:szCs w:val="21"/>
              </w:rPr>
              <w:t>≥8路信号输入，具备视频输入在同步及帧率格式</w:t>
            </w:r>
            <w:r>
              <w:rPr>
                <w:rFonts w:hint="eastAsia" w:ascii="宋体" w:hAnsi="宋体" w:eastAsia="宋体" w:cs="宋体"/>
                <w:spacing w:val="-3"/>
                <w:sz w:val="21"/>
                <w:szCs w:val="21"/>
              </w:rPr>
              <w:t>转换器功能；</w:t>
            </w:r>
            <w:r>
              <w:rPr>
                <w:rFonts w:hint="eastAsia" w:ascii="宋体" w:hAnsi="宋体" w:eastAsia="宋体" w:cs="宋体"/>
                <w:sz w:val="21"/>
                <w:szCs w:val="21"/>
              </w:rPr>
              <w:t xml:space="preserve"> usb-c 3.1 Gen 1接口≥2个，配备实体键控，支持多机位直播切换；支持ISO独立录制；配备两通道调音台，支持≥10路输</w:t>
            </w:r>
            <w:r>
              <w:rPr>
                <w:rFonts w:hint="eastAsia" w:ascii="宋体" w:hAnsi="宋体" w:eastAsia="宋体" w:cs="宋体"/>
                <w:spacing w:val="-1"/>
                <w:sz w:val="21"/>
                <w:szCs w:val="21"/>
              </w:rPr>
              <w:t>入，支持Fair</w:t>
            </w:r>
            <w:r>
              <w:rPr>
                <w:rFonts w:hint="eastAsia" w:ascii="宋体" w:hAnsi="宋体" w:eastAsia="宋体" w:cs="宋体"/>
                <w:spacing w:val="-80"/>
                <w:sz w:val="21"/>
                <w:szCs w:val="21"/>
              </w:rPr>
              <w:t xml:space="preserve"> </w:t>
            </w:r>
            <w:r>
              <w:rPr>
                <w:rFonts w:hint="eastAsia" w:ascii="宋体" w:hAnsi="宋体" w:eastAsia="宋体" w:cs="宋体"/>
                <w:spacing w:val="-1"/>
                <w:sz w:val="21"/>
                <w:szCs w:val="21"/>
              </w:rPr>
              <w:t>light音频强化：压</w:t>
            </w:r>
          </w:p>
          <w:p w14:paraId="738F1656">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缩器、门限器、限制器、6频段参量均微器。主增益</w:t>
            </w:r>
          </w:p>
          <w:p w14:paraId="4082B473">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控制。；支持4K信号输入输出；支持实时直播推流，以太网支持10/100/1000BaseT，支持通过实时消息传输协议(RTMP)经以太网或通过USB-C共享移动网络直接推流。</w:t>
            </w:r>
          </w:p>
        </w:tc>
        <w:tc>
          <w:tcPr>
            <w:tcW w:w="604" w:type="pct"/>
            <w:vAlign w:val="center"/>
          </w:tcPr>
          <w:p w14:paraId="2A0FC199">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4CE81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90" w:hRule="atLeast"/>
        </w:trPr>
        <w:tc>
          <w:tcPr>
            <w:tcW w:w="325" w:type="pct"/>
            <w:vAlign w:val="center"/>
          </w:tcPr>
          <w:p w14:paraId="35F52F10">
            <w:pPr>
              <w:keepNext w:val="0"/>
              <w:keepLines w:val="0"/>
              <w:pageBreakBefore w:val="0"/>
              <w:widowControl w:val="0"/>
              <w:kinsoku/>
              <w:wordWrap/>
              <w:overflowPunct/>
              <w:topLinePunct w:val="0"/>
              <w:autoSpaceDE/>
              <w:autoSpaceDN/>
              <w:bidi w:val="0"/>
              <w:adjustRightInd/>
              <w:snapToGrid/>
              <w:spacing w:line="241" w:lineRule="auto"/>
              <w:ind w:left="0" w:right="0" w:firstLine="0"/>
              <w:jc w:val="center"/>
              <w:textAlignment w:val="auto"/>
              <w:rPr>
                <w:rFonts w:hint="eastAsia" w:ascii="宋体" w:hAnsi="宋体" w:eastAsia="宋体" w:cs="宋体"/>
                <w:sz w:val="21"/>
                <w:szCs w:val="21"/>
              </w:rPr>
            </w:pPr>
          </w:p>
          <w:p w14:paraId="66288DC1">
            <w:pPr>
              <w:keepNext w:val="0"/>
              <w:keepLines w:val="0"/>
              <w:pageBreakBefore w:val="0"/>
              <w:widowControl w:val="0"/>
              <w:kinsoku/>
              <w:wordWrap/>
              <w:overflowPunct/>
              <w:topLinePunct w:val="0"/>
              <w:autoSpaceDE/>
              <w:autoSpaceDN/>
              <w:bidi w:val="0"/>
              <w:adjustRightInd/>
              <w:snapToGrid/>
              <w:spacing w:line="241" w:lineRule="auto"/>
              <w:ind w:left="0" w:right="0" w:firstLine="0"/>
              <w:jc w:val="center"/>
              <w:textAlignment w:val="auto"/>
              <w:rPr>
                <w:rFonts w:hint="eastAsia" w:ascii="宋体" w:hAnsi="宋体" w:eastAsia="宋体" w:cs="宋体"/>
                <w:sz w:val="21"/>
                <w:szCs w:val="21"/>
              </w:rPr>
            </w:pPr>
          </w:p>
          <w:p w14:paraId="5EB80860">
            <w:pPr>
              <w:keepNext w:val="0"/>
              <w:keepLines w:val="0"/>
              <w:pageBreakBefore w:val="0"/>
              <w:widowControl w:val="0"/>
              <w:kinsoku/>
              <w:wordWrap/>
              <w:overflowPunct/>
              <w:topLinePunct w:val="0"/>
              <w:autoSpaceDE/>
              <w:autoSpaceDN/>
              <w:bidi w:val="0"/>
              <w:adjustRightInd/>
              <w:snapToGrid/>
              <w:spacing w:line="242" w:lineRule="auto"/>
              <w:ind w:left="0" w:right="0" w:firstLine="0"/>
              <w:jc w:val="center"/>
              <w:textAlignment w:val="auto"/>
              <w:rPr>
                <w:rFonts w:hint="eastAsia" w:ascii="宋体" w:hAnsi="宋体" w:eastAsia="宋体" w:cs="宋体"/>
                <w:sz w:val="21"/>
                <w:szCs w:val="21"/>
              </w:rPr>
            </w:pPr>
          </w:p>
          <w:p w14:paraId="45E22FC7">
            <w:pPr>
              <w:pStyle w:val="20"/>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c>
          <w:tcPr>
            <w:tcW w:w="704" w:type="pct"/>
            <w:vAlign w:val="center"/>
          </w:tcPr>
          <w:p w14:paraId="42C986A8">
            <w:pPr>
              <w:pStyle w:val="20"/>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3"/>
                <w:sz w:val="21"/>
                <w:szCs w:val="21"/>
              </w:rPr>
              <w:t>三脚架</w:t>
            </w:r>
          </w:p>
        </w:tc>
        <w:tc>
          <w:tcPr>
            <w:tcW w:w="3365" w:type="pct"/>
            <w:vAlign w:val="center"/>
          </w:tcPr>
          <w:p w14:paraId="78851F54">
            <w:pPr>
              <w:pStyle w:val="20"/>
              <w:keepNext w:val="0"/>
              <w:keepLines w:val="0"/>
              <w:pageBreakBefore w:val="0"/>
              <w:widowControl w:val="0"/>
              <w:kinsoku/>
              <w:wordWrap/>
              <w:overflowPunct/>
              <w:topLinePunct w:val="0"/>
              <w:autoSpaceDE/>
              <w:autoSpaceDN/>
              <w:bidi w:val="0"/>
              <w:adjustRightInd/>
              <w:snapToGrid/>
              <w:spacing w:line="227"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3"/>
                <w:sz w:val="21"/>
                <w:szCs w:val="21"/>
              </w:rPr>
              <w:t>承重≥7kg；碳纤维材质；俯仰阻尼</w:t>
            </w:r>
            <w:r>
              <w:rPr>
                <w:rFonts w:hint="eastAsia" w:ascii="宋体" w:hAnsi="宋体" w:eastAsia="宋体" w:cs="宋体"/>
                <w:spacing w:val="38"/>
                <w:sz w:val="21"/>
                <w:szCs w:val="21"/>
              </w:rPr>
              <w:t xml:space="preserve"> </w:t>
            </w:r>
            <w:r>
              <w:rPr>
                <w:rFonts w:hint="eastAsia" w:ascii="宋体" w:hAnsi="宋体" w:eastAsia="宋体" w:cs="宋体"/>
                <w:spacing w:val="-3"/>
                <w:sz w:val="21"/>
                <w:szCs w:val="21"/>
              </w:rPr>
              <w:t>1-4 、水平阻尼：</w:t>
            </w:r>
            <w:r>
              <w:rPr>
                <w:rFonts w:hint="eastAsia" w:ascii="宋体" w:hAnsi="宋体" w:eastAsia="宋体" w:cs="宋体"/>
                <w:spacing w:val="13"/>
                <w:sz w:val="21"/>
                <w:szCs w:val="21"/>
              </w:rPr>
              <w:t xml:space="preserve">  </w:t>
            </w:r>
            <w:r>
              <w:rPr>
                <w:rFonts w:hint="eastAsia" w:ascii="宋体" w:hAnsi="宋体" w:eastAsia="宋体" w:cs="宋体"/>
                <w:spacing w:val="-3"/>
                <w:sz w:val="21"/>
                <w:szCs w:val="21"/>
              </w:rPr>
              <w:t>1-4、</w:t>
            </w:r>
            <w:r>
              <w:rPr>
                <w:rFonts w:hint="eastAsia" w:ascii="宋体" w:hAnsi="宋体" w:eastAsia="宋体" w:cs="宋体"/>
                <w:spacing w:val="-1"/>
                <w:sz w:val="21"/>
                <w:szCs w:val="21"/>
              </w:rPr>
              <w:t>动态平衡： 1-4</w:t>
            </w:r>
            <w:r>
              <w:rPr>
                <w:rFonts w:hint="eastAsia" w:ascii="宋体" w:hAnsi="宋体" w:eastAsia="宋体" w:cs="宋体"/>
                <w:spacing w:val="26"/>
                <w:sz w:val="21"/>
                <w:szCs w:val="21"/>
              </w:rPr>
              <w:t xml:space="preserve"> </w:t>
            </w:r>
            <w:r>
              <w:rPr>
                <w:rFonts w:hint="eastAsia" w:ascii="宋体" w:hAnsi="宋体" w:eastAsia="宋体" w:cs="宋体"/>
                <w:spacing w:val="-1"/>
                <w:sz w:val="21"/>
                <w:szCs w:val="21"/>
              </w:rPr>
              <w:t>、温度范围： -40℃ /</w:t>
            </w:r>
            <w:r>
              <w:rPr>
                <w:rFonts w:hint="eastAsia" w:ascii="宋体" w:hAnsi="宋体" w:eastAsia="宋体" w:cs="宋体"/>
                <w:spacing w:val="10"/>
                <w:sz w:val="21"/>
                <w:szCs w:val="21"/>
              </w:rPr>
              <w:t xml:space="preserve"> </w:t>
            </w:r>
            <w:r>
              <w:rPr>
                <w:rFonts w:hint="eastAsia" w:ascii="宋体" w:hAnsi="宋体" w:eastAsia="宋体" w:cs="宋体"/>
                <w:spacing w:val="-1"/>
                <w:sz w:val="21"/>
                <w:szCs w:val="21"/>
              </w:rPr>
              <w:t>+60℃、俯仰角度：</w:t>
            </w:r>
          </w:p>
          <w:p w14:paraId="598E8058">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3"/>
                <w:sz w:val="21"/>
                <w:szCs w:val="21"/>
              </w:rPr>
              <w:t>+90</w:t>
            </w:r>
            <w:r>
              <w:rPr>
                <w:rFonts w:hint="eastAsia" w:ascii="宋体" w:hAnsi="宋体" w:eastAsia="宋体" w:cs="宋体"/>
                <w:spacing w:val="-79"/>
                <w:sz w:val="21"/>
                <w:szCs w:val="21"/>
              </w:rPr>
              <w:t xml:space="preserve"> </w:t>
            </w:r>
            <w:r>
              <w:rPr>
                <w:rFonts w:hint="eastAsia" w:ascii="宋体" w:hAnsi="宋体" w:eastAsia="宋体" w:cs="宋体"/>
                <w:spacing w:val="-3"/>
                <w:sz w:val="21"/>
                <w:szCs w:val="21"/>
              </w:rPr>
              <w:t>° / -66</w:t>
            </w:r>
            <w:r>
              <w:rPr>
                <w:rFonts w:hint="eastAsia" w:ascii="宋体" w:hAnsi="宋体" w:eastAsia="宋体" w:cs="宋体"/>
                <w:spacing w:val="-84"/>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85"/>
                <w:sz w:val="21"/>
                <w:szCs w:val="21"/>
              </w:rPr>
              <w:t xml:space="preserve"> </w:t>
            </w:r>
            <w:r>
              <w:rPr>
                <w:rFonts w:hint="eastAsia" w:ascii="宋体" w:hAnsi="宋体" w:eastAsia="宋体" w:cs="宋体"/>
                <w:spacing w:val="-3"/>
                <w:sz w:val="21"/>
                <w:szCs w:val="21"/>
              </w:rPr>
              <w:t>、球碗直径：75 mm、水平泡： 玻璃</w:t>
            </w:r>
            <w:r>
              <w:rPr>
                <w:rFonts w:hint="eastAsia" w:ascii="宋体" w:hAnsi="宋体" w:eastAsia="宋体" w:cs="宋体"/>
                <w:spacing w:val="25"/>
                <w:sz w:val="21"/>
                <w:szCs w:val="21"/>
              </w:rPr>
              <w:t xml:space="preserve"> </w:t>
            </w:r>
            <w:r>
              <w:rPr>
                <w:rFonts w:hint="eastAsia" w:ascii="宋体" w:hAnsi="宋体" w:eastAsia="宋体" w:cs="宋体"/>
                <w:spacing w:val="-3"/>
                <w:sz w:val="21"/>
                <w:szCs w:val="21"/>
              </w:rPr>
              <w:t>、套装重</w:t>
            </w:r>
            <w:r>
              <w:rPr>
                <w:rFonts w:hint="eastAsia" w:ascii="宋体" w:hAnsi="宋体" w:eastAsia="宋体" w:cs="宋体"/>
                <w:sz w:val="21"/>
                <w:szCs w:val="21"/>
              </w:rPr>
              <w:t>量≥6.01 kg  脚架级数： 一键双级三节   最大高度≥1700</w:t>
            </w:r>
            <w:r>
              <w:rPr>
                <w:rFonts w:hint="eastAsia" w:ascii="宋体" w:hAnsi="宋体" w:eastAsia="宋体" w:cs="宋体"/>
                <w:spacing w:val="6"/>
                <w:sz w:val="21"/>
                <w:szCs w:val="21"/>
              </w:rPr>
              <w:t xml:space="preserve"> </w:t>
            </w:r>
            <w:r>
              <w:rPr>
                <w:rFonts w:hint="eastAsia" w:ascii="宋体" w:hAnsi="宋体" w:eastAsia="宋体" w:cs="宋体"/>
                <w:sz w:val="21"/>
                <w:szCs w:val="21"/>
              </w:rPr>
              <w:t>mm最小高度≥ 650 mm   适配专业相机、摄像机；含配套云台</w:t>
            </w:r>
            <w:r>
              <w:rPr>
                <w:rFonts w:hint="eastAsia" w:ascii="宋体" w:hAnsi="宋体" w:eastAsia="宋体" w:cs="宋体"/>
                <w:spacing w:val="15"/>
                <w:sz w:val="21"/>
                <w:szCs w:val="21"/>
              </w:rPr>
              <w:t xml:space="preserve"> </w:t>
            </w:r>
            <w:r>
              <w:rPr>
                <w:rFonts w:hint="eastAsia" w:ascii="宋体" w:hAnsi="宋体" w:eastAsia="宋体" w:cs="宋体"/>
                <w:sz w:val="21"/>
                <w:szCs w:val="21"/>
              </w:rPr>
              <w:t>、快装板</w:t>
            </w:r>
          </w:p>
        </w:tc>
        <w:tc>
          <w:tcPr>
            <w:tcW w:w="604" w:type="pct"/>
            <w:vAlign w:val="center"/>
          </w:tcPr>
          <w:p w14:paraId="5A569D87">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14:paraId="02B047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67" w:hRule="atLeast"/>
        </w:trPr>
        <w:tc>
          <w:tcPr>
            <w:tcW w:w="325" w:type="pct"/>
            <w:vAlign w:val="center"/>
          </w:tcPr>
          <w:p w14:paraId="1466A1A7">
            <w:pPr>
              <w:keepNext w:val="0"/>
              <w:keepLines w:val="0"/>
              <w:pageBreakBefore w:val="0"/>
              <w:widowControl w:val="0"/>
              <w:kinsoku/>
              <w:wordWrap/>
              <w:overflowPunct/>
              <w:topLinePunct w:val="0"/>
              <w:autoSpaceDE/>
              <w:autoSpaceDN/>
              <w:bidi w:val="0"/>
              <w:adjustRightInd/>
              <w:snapToGrid/>
              <w:spacing w:line="466" w:lineRule="auto"/>
              <w:ind w:left="0" w:right="0" w:firstLine="0"/>
              <w:jc w:val="center"/>
              <w:textAlignment w:val="auto"/>
              <w:rPr>
                <w:rFonts w:hint="eastAsia" w:ascii="宋体" w:hAnsi="宋体" w:eastAsia="宋体" w:cs="宋体"/>
                <w:sz w:val="21"/>
                <w:szCs w:val="21"/>
              </w:rPr>
            </w:pPr>
          </w:p>
          <w:p w14:paraId="505DF202">
            <w:pPr>
              <w:pStyle w:val="20"/>
              <w:keepNext w:val="0"/>
              <w:keepLines w:val="0"/>
              <w:pageBreakBefore w:val="0"/>
              <w:widowControl w:val="0"/>
              <w:kinsoku/>
              <w:wordWrap/>
              <w:overflowPunct/>
              <w:topLinePunct w:val="0"/>
              <w:autoSpaceDE/>
              <w:autoSpaceDN/>
              <w:bidi w:val="0"/>
              <w:adjustRightInd/>
              <w:snapToGrid/>
              <w:spacing w:line="24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c>
          <w:tcPr>
            <w:tcW w:w="704" w:type="pct"/>
            <w:vAlign w:val="center"/>
          </w:tcPr>
          <w:p w14:paraId="107443E7">
            <w:pPr>
              <w:keepNext w:val="0"/>
              <w:keepLines w:val="0"/>
              <w:pageBreakBefore w:val="0"/>
              <w:widowControl w:val="0"/>
              <w:kinsoku/>
              <w:wordWrap/>
              <w:overflowPunct/>
              <w:topLinePunct w:val="0"/>
              <w:autoSpaceDE/>
              <w:autoSpaceDN/>
              <w:bidi w:val="0"/>
              <w:adjustRightInd/>
              <w:snapToGrid/>
              <w:spacing w:line="465" w:lineRule="auto"/>
              <w:ind w:left="0" w:right="0" w:firstLine="0"/>
              <w:jc w:val="center"/>
              <w:textAlignment w:val="auto"/>
              <w:rPr>
                <w:rFonts w:hint="eastAsia" w:ascii="宋体" w:hAnsi="宋体" w:eastAsia="宋体" w:cs="宋体"/>
                <w:sz w:val="21"/>
                <w:szCs w:val="21"/>
              </w:rPr>
            </w:pPr>
          </w:p>
          <w:p w14:paraId="2CD3CEC1">
            <w:pPr>
              <w:pStyle w:val="20"/>
              <w:keepNext w:val="0"/>
              <w:keepLines w:val="0"/>
              <w:pageBreakBefore w:val="0"/>
              <w:widowControl w:val="0"/>
              <w:kinsoku/>
              <w:wordWrap/>
              <w:overflowPunct/>
              <w:topLinePunct w:val="0"/>
              <w:autoSpaceDE/>
              <w:autoSpaceDN/>
              <w:bidi w:val="0"/>
              <w:adjustRightInd/>
              <w:snapToGrid/>
              <w:spacing w:line="219"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独脚架+云台</w:t>
            </w:r>
          </w:p>
        </w:tc>
        <w:tc>
          <w:tcPr>
            <w:tcW w:w="3365" w:type="pct"/>
            <w:vAlign w:val="center"/>
          </w:tcPr>
          <w:p w14:paraId="178F9667">
            <w:pPr>
              <w:pStyle w:val="20"/>
              <w:keepNext w:val="0"/>
              <w:keepLines w:val="0"/>
              <w:pageBreakBefore w:val="0"/>
              <w:widowControl w:val="0"/>
              <w:kinsoku/>
              <w:wordWrap/>
              <w:overflowPunct/>
              <w:topLinePunct w:val="0"/>
              <w:autoSpaceDE/>
              <w:autoSpaceDN/>
              <w:bidi w:val="0"/>
              <w:adjustRightInd/>
              <w:snapToGrid/>
              <w:spacing w:line="214"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承重≥8kg；碳纤维材质；脚踏板扣型，四节脚架</w:t>
            </w:r>
          </w:p>
          <w:p w14:paraId="6F94DC24">
            <w:pPr>
              <w:pStyle w:val="20"/>
              <w:keepNext w:val="0"/>
              <w:keepLines w:val="0"/>
              <w:pageBreakBefore w:val="0"/>
              <w:widowControl w:val="0"/>
              <w:kinsoku/>
              <w:wordWrap/>
              <w:overflowPunct/>
              <w:topLinePunct w:val="0"/>
              <w:autoSpaceDE/>
              <w:autoSpaceDN/>
              <w:bidi w:val="0"/>
              <w:adjustRightInd/>
              <w:snapToGrid/>
              <w:spacing w:line="230"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4"/>
                <w:sz w:val="21"/>
                <w:szCs w:val="21"/>
              </w:rPr>
              <w:t>收纳高度≤70cm，展开高度≥180cm；可旋转360</w:t>
            </w:r>
            <w:r>
              <w:rPr>
                <w:rFonts w:hint="eastAsia" w:ascii="宋体" w:hAnsi="宋体" w:eastAsia="宋体" w:cs="宋体"/>
                <w:spacing w:val="-63"/>
                <w:sz w:val="21"/>
                <w:szCs w:val="21"/>
              </w:rPr>
              <w:t xml:space="preserve"> </w:t>
            </w:r>
            <w:r>
              <w:rPr>
                <w:rFonts w:hint="eastAsia" w:ascii="宋体" w:hAnsi="宋体" w:eastAsia="宋体" w:cs="宋体"/>
                <w:spacing w:val="-4"/>
                <w:sz w:val="21"/>
                <w:szCs w:val="21"/>
              </w:rPr>
              <w:t>°</w:t>
            </w:r>
            <w:r>
              <w:rPr>
                <w:rFonts w:hint="eastAsia" w:ascii="宋体" w:hAnsi="宋体" w:eastAsia="宋体" w:cs="宋体"/>
                <w:spacing w:val="-82"/>
                <w:sz w:val="21"/>
                <w:szCs w:val="21"/>
              </w:rPr>
              <w:t xml:space="preserve"> </w:t>
            </w:r>
            <w:r>
              <w:rPr>
                <w:rFonts w:hint="eastAsia" w:ascii="宋体" w:hAnsi="宋体" w:eastAsia="宋体" w:cs="宋体"/>
                <w:spacing w:val="-4"/>
                <w:sz w:val="21"/>
                <w:szCs w:val="21"/>
              </w:rPr>
              <w:t>,</w:t>
            </w:r>
            <w:r>
              <w:rPr>
                <w:rFonts w:hint="eastAsia" w:ascii="宋体" w:hAnsi="宋体" w:eastAsia="宋体" w:cs="宋体"/>
                <w:spacing w:val="58"/>
                <w:sz w:val="21"/>
                <w:szCs w:val="21"/>
              </w:rPr>
              <w:t xml:space="preserve"> </w:t>
            </w:r>
            <w:r>
              <w:rPr>
                <w:rFonts w:hint="eastAsia" w:ascii="宋体" w:hAnsi="宋体" w:eastAsia="宋体" w:cs="宋体"/>
                <w:spacing w:val="-4"/>
                <w:sz w:val="21"/>
                <w:szCs w:val="21"/>
              </w:rPr>
              <w:t>倾斜角度</w:t>
            </w:r>
            <w:r>
              <w:rPr>
                <w:rFonts w:hint="eastAsia" w:ascii="宋体" w:hAnsi="宋体" w:eastAsia="宋体" w:cs="宋体"/>
                <w:spacing w:val="-3"/>
                <w:sz w:val="21"/>
                <w:szCs w:val="21"/>
              </w:rPr>
              <w:t>≥90</w:t>
            </w:r>
            <w:r>
              <w:rPr>
                <w:rFonts w:hint="eastAsia" w:ascii="宋体" w:hAnsi="宋体" w:eastAsia="宋体" w:cs="宋体"/>
                <w:spacing w:val="-68"/>
                <w:sz w:val="21"/>
                <w:szCs w:val="21"/>
              </w:rPr>
              <w:t xml:space="preserve"> </w:t>
            </w:r>
            <w:r>
              <w:rPr>
                <w:rFonts w:hint="eastAsia" w:ascii="宋体" w:hAnsi="宋体" w:eastAsia="宋体" w:cs="宋体"/>
                <w:spacing w:val="-3"/>
                <w:sz w:val="21"/>
                <w:szCs w:val="21"/>
              </w:rPr>
              <w:t>°</w:t>
            </w:r>
            <w:r>
              <w:rPr>
                <w:rFonts w:hint="eastAsia" w:ascii="宋体" w:hAnsi="宋体" w:eastAsia="宋体" w:cs="宋体"/>
                <w:spacing w:val="-80"/>
                <w:sz w:val="21"/>
                <w:szCs w:val="21"/>
              </w:rPr>
              <w:t xml:space="preserve"> </w:t>
            </w:r>
            <w:r>
              <w:rPr>
                <w:rFonts w:hint="eastAsia" w:ascii="宋体" w:hAnsi="宋体" w:eastAsia="宋体" w:cs="宋体"/>
                <w:spacing w:val="-3"/>
                <w:sz w:val="21"/>
                <w:szCs w:val="21"/>
              </w:rPr>
              <w:t>；配套液压云台，支持快拆；适配专业相机、摄像机</w:t>
            </w:r>
          </w:p>
        </w:tc>
        <w:tc>
          <w:tcPr>
            <w:tcW w:w="604" w:type="pct"/>
            <w:vAlign w:val="center"/>
          </w:tcPr>
          <w:p w14:paraId="15BEBBC2">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6EBB3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610" w:hRule="atLeast"/>
        </w:trPr>
        <w:tc>
          <w:tcPr>
            <w:tcW w:w="325" w:type="pct"/>
            <w:vAlign w:val="center"/>
          </w:tcPr>
          <w:p w14:paraId="20605DC0">
            <w:pPr>
              <w:keepNext w:val="0"/>
              <w:keepLines w:val="0"/>
              <w:pageBreakBefore w:val="0"/>
              <w:widowControl w:val="0"/>
              <w:kinsoku/>
              <w:wordWrap/>
              <w:overflowPunct/>
              <w:topLinePunct w:val="0"/>
              <w:autoSpaceDE/>
              <w:autoSpaceDN/>
              <w:bidi w:val="0"/>
              <w:adjustRightInd/>
              <w:snapToGrid/>
              <w:spacing w:line="319" w:lineRule="auto"/>
              <w:ind w:left="0" w:right="0" w:firstLine="0"/>
              <w:jc w:val="center"/>
              <w:textAlignment w:val="auto"/>
              <w:rPr>
                <w:rFonts w:hint="eastAsia" w:ascii="宋体" w:hAnsi="宋体" w:eastAsia="宋体" w:cs="宋体"/>
                <w:sz w:val="21"/>
                <w:szCs w:val="21"/>
              </w:rPr>
            </w:pPr>
          </w:p>
          <w:p w14:paraId="2F753575">
            <w:pPr>
              <w:keepNext w:val="0"/>
              <w:keepLines w:val="0"/>
              <w:pageBreakBefore w:val="0"/>
              <w:widowControl w:val="0"/>
              <w:kinsoku/>
              <w:wordWrap/>
              <w:overflowPunct/>
              <w:topLinePunct w:val="0"/>
              <w:autoSpaceDE/>
              <w:autoSpaceDN/>
              <w:bidi w:val="0"/>
              <w:adjustRightInd/>
              <w:snapToGrid/>
              <w:spacing w:line="320" w:lineRule="auto"/>
              <w:ind w:left="0" w:right="0" w:firstLine="0"/>
              <w:jc w:val="center"/>
              <w:textAlignment w:val="auto"/>
              <w:rPr>
                <w:rFonts w:hint="eastAsia" w:ascii="宋体" w:hAnsi="宋体" w:eastAsia="宋体" w:cs="宋体"/>
                <w:sz w:val="21"/>
                <w:szCs w:val="21"/>
              </w:rPr>
            </w:pPr>
          </w:p>
          <w:p w14:paraId="41F70800">
            <w:pPr>
              <w:pStyle w:val="20"/>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sz w:val="21"/>
                <w:szCs w:val="21"/>
              </w:rPr>
            </w:pPr>
            <w:r>
              <w:rPr>
                <w:rFonts w:hint="eastAsia" w:ascii="宋体" w:hAnsi="宋体" w:eastAsia="宋体" w:cs="宋体"/>
                <w:sz w:val="21"/>
                <w:szCs w:val="21"/>
              </w:rPr>
              <w:t>5</w:t>
            </w:r>
          </w:p>
        </w:tc>
        <w:tc>
          <w:tcPr>
            <w:tcW w:w="704" w:type="pct"/>
            <w:vAlign w:val="center"/>
          </w:tcPr>
          <w:p w14:paraId="1C380D94">
            <w:pPr>
              <w:pStyle w:val="20"/>
              <w:keepNext w:val="0"/>
              <w:keepLines w:val="0"/>
              <w:pageBreakBefore w:val="0"/>
              <w:widowControl w:val="0"/>
              <w:kinsoku/>
              <w:wordWrap/>
              <w:overflowPunct/>
              <w:topLinePunct w:val="0"/>
              <w:autoSpaceDE/>
              <w:autoSpaceDN/>
              <w:bidi w:val="0"/>
              <w:adjustRightInd/>
              <w:snapToGrid/>
              <w:spacing w:line="23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2"/>
                <w:sz w:val="21"/>
                <w:szCs w:val="21"/>
              </w:rPr>
              <w:t>头戴导播通话</w:t>
            </w:r>
            <w:r>
              <w:rPr>
                <w:rFonts w:hint="eastAsia" w:ascii="宋体" w:hAnsi="宋体" w:eastAsia="宋体" w:cs="宋体"/>
                <w:spacing w:val="-6"/>
                <w:sz w:val="21"/>
                <w:szCs w:val="21"/>
              </w:rPr>
              <w:t>系统</w:t>
            </w:r>
          </w:p>
        </w:tc>
        <w:tc>
          <w:tcPr>
            <w:tcW w:w="3365" w:type="pct"/>
            <w:vAlign w:val="center"/>
          </w:tcPr>
          <w:p w14:paraId="36E4D678">
            <w:pPr>
              <w:pStyle w:val="20"/>
              <w:keepNext w:val="0"/>
              <w:keepLines w:val="0"/>
              <w:pageBreakBefore w:val="0"/>
              <w:widowControl w:val="0"/>
              <w:kinsoku/>
              <w:wordWrap/>
              <w:overflowPunct/>
              <w:topLinePunct w:val="0"/>
              <w:autoSpaceDE/>
              <w:autoSpaceDN/>
              <w:bidi w:val="0"/>
              <w:adjustRightInd/>
              <w:snapToGrid/>
              <w:spacing w:line="227"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一拖五及以上配置；头戴一体式设计，半入耳式佩戴，无线连接，接收距离≥20米；频响范围 150Hz-7KHZ,支持双麦降噪通话，续航时间≥8小时；发射功率≥20dBm，信噪比</w:t>
            </w:r>
          </w:p>
          <w:p w14:paraId="7AA0B88A">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71±2dB@94dBSPL, 1KHZ  支持导播与多机位团队长距离实时沟通；含配套充电、收纳配件</w:t>
            </w:r>
          </w:p>
        </w:tc>
        <w:tc>
          <w:tcPr>
            <w:tcW w:w="604" w:type="pct"/>
            <w:vAlign w:val="center"/>
          </w:tcPr>
          <w:p w14:paraId="63FECA0E">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0E835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010F10A9">
            <w:pPr>
              <w:pStyle w:val="20"/>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w:t>
            </w:r>
          </w:p>
          <w:p w14:paraId="312DE765">
            <w:pPr>
              <w:pStyle w:val="20"/>
              <w:keepNext w:val="0"/>
              <w:keepLines w:val="0"/>
              <w:pageBreakBefore w:val="0"/>
              <w:widowControl w:val="0"/>
              <w:kinsoku/>
              <w:wordWrap/>
              <w:overflowPunct/>
              <w:topLinePunct w:val="0"/>
              <w:autoSpaceDE/>
              <w:autoSpaceDN/>
              <w:bidi w:val="0"/>
              <w:adjustRightInd/>
              <w:snapToGrid/>
              <w:ind w:left="0" w:right="0" w:firstLine="0"/>
              <w:jc w:val="center"/>
              <w:textAlignment w:val="auto"/>
              <w:rPr>
                <w:rFonts w:hint="eastAsia" w:ascii="宋体" w:hAnsi="宋体" w:eastAsia="宋体" w:cs="宋体"/>
                <w:sz w:val="21"/>
                <w:szCs w:val="21"/>
              </w:rPr>
            </w:pPr>
          </w:p>
        </w:tc>
        <w:tc>
          <w:tcPr>
            <w:tcW w:w="704" w:type="pct"/>
            <w:vAlign w:val="center"/>
          </w:tcPr>
          <w:p w14:paraId="45F1F2AF">
            <w:pPr>
              <w:pStyle w:val="20"/>
              <w:keepNext w:val="0"/>
              <w:keepLines w:val="0"/>
              <w:pageBreakBefore w:val="0"/>
              <w:widowControl w:val="0"/>
              <w:kinsoku/>
              <w:wordWrap/>
              <w:overflowPunct/>
              <w:topLinePunct w:val="0"/>
              <w:autoSpaceDE/>
              <w:autoSpaceDN/>
              <w:bidi w:val="0"/>
              <w:adjustRightInd/>
              <w:snapToGrid/>
              <w:spacing w:line="231" w:lineRule="auto"/>
              <w:ind w:left="0" w:right="0" w:firstLine="0"/>
              <w:jc w:val="center"/>
              <w:textAlignment w:val="auto"/>
              <w:rPr>
                <w:rFonts w:hint="eastAsia" w:ascii="宋体" w:hAnsi="宋体" w:eastAsia="宋体" w:cs="宋体"/>
                <w:sz w:val="21"/>
                <w:szCs w:val="21"/>
              </w:rPr>
            </w:pPr>
            <w:r>
              <w:rPr>
                <w:rFonts w:hint="eastAsia" w:ascii="宋体" w:hAnsi="宋体" w:eastAsia="宋体" w:cs="宋体"/>
                <w:spacing w:val="-1"/>
                <w:sz w:val="21"/>
                <w:szCs w:val="21"/>
              </w:rPr>
              <w:t>采访直播视频</w:t>
            </w:r>
            <w:r>
              <w:rPr>
                <w:rFonts w:hint="eastAsia" w:ascii="宋体" w:hAnsi="宋体" w:eastAsia="宋体" w:cs="宋体"/>
                <w:spacing w:val="-5"/>
                <w:sz w:val="21"/>
                <w:szCs w:val="21"/>
              </w:rPr>
              <w:t>录音</w:t>
            </w:r>
          </w:p>
        </w:tc>
        <w:tc>
          <w:tcPr>
            <w:tcW w:w="3365" w:type="pct"/>
            <w:vAlign w:val="center"/>
          </w:tcPr>
          <w:p w14:paraId="6D2B2C60">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一拖二配置；含充电盒，支持多种佩戴方式；支持四发八收，</w:t>
            </w:r>
          </w:p>
          <w:p w14:paraId="79449475">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四声道输出；双频抗干扰；发射器内置内存，支持双文件24-</w:t>
            </w:r>
          </w:p>
          <w:p w14:paraId="5892EBEE">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bit/32-bit float格式内录；配备音色预设；支持直插式、蓝牙连接，单次续航≥8小时；适配相机、摄像机、手机、笔记本</w:t>
            </w:r>
          </w:p>
        </w:tc>
        <w:tc>
          <w:tcPr>
            <w:tcW w:w="604" w:type="pct"/>
            <w:vAlign w:val="center"/>
          </w:tcPr>
          <w:p w14:paraId="0C0C8FB6">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14:paraId="5E3FD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4B965BF5">
            <w:pPr>
              <w:keepNext w:val="0"/>
              <w:keepLines w:val="0"/>
              <w:pageBreakBefore w:val="0"/>
              <w:widowControl w:val="0"/>
              <w:kinsoku/>
              <w:wordWrap/>
              <w:overflowPunct/>
              <w:topLinePunct w:val="0"/>
              <w:autoSpaceDE/>
              <w:autoSpaceDN/>
              <w:bidi w:val="0"/>
              <w:adjustRightInd/>
              <w:snapToGrid/>
              <w:spacing w:line="306" w:lineRule="auto"/>
              <w:ind w:left="0" w:right="0" w:firstLine="0"/>
              <w:jc w:val="center"/>
              <w:textAlignment w:val="auto"/>
              <w:rPr>
                <w:rFonts w:hint="eastAsia" w:ascii="宋体" w:hAnsi="宋体" w:eastAsia="宋体" w:cs="宋体"/>
                <w:sz w:val="21"/>
                <w:szCs w:val="21"/>
              </w:rPr>
            </w:pPr>
          </w:p>
          <w:p w14:paraId="6E210AA2">
            <w:pPr>
              <w:keepNext w:val="0"/>
              <w:keepLines w:val="0"/>
              <w:pageBreakBefore w:val="0"/>
              <w:widowControl w:val="0"/>
              <w:kinsoku/>
              <w:wordWrap/>
              <w:overflowPunct/>
              <w:topLinePunct w:val="0"/>
              <w:autoSpaceDE/>
              <w:autoSpaceDN/>
              <w:bidi w:val="0"/>
              <w:adjustRightInd/>
              <w:snapToGrid/>
              <w:spacing w:line="307" w:lineRule="auto"/>
              <w:ind w:left="0" w:right="0" w:firstLine="0"/>
              <w:jc w:val="center"/>
              <w:textAlignment w:val="auto"/>
              <w:rPr>
                <w:rFonts w:hint="eastAsia" w:ascii="宋体" w:hAnsi="宋体" w:eastAsia="宋体" w:cs="宋体"/>
                <w:sz w:val="21"/>
                <w:szCs w:val="21"/>
              </w:rPr>
            </w:pPr>
          </w:p>
          <w:p w14:paraId="5A1C3E9A">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7</w:t>
            </w:r>
          </w:p>
        </w:tc>
        <w:tc>
          <w:tcPr>
            <w:tcW w:w="704" w:type="pct"/>
            <w:vAlign w:val="center"/>
          </w:tcPr>
          <w:p w14:paraId="3C52AB4D">
            <w:pPr>
              <w:pStyle w:val="20"/>
              <w:keepNext w:val="0"/>
              <w:keepLines w:val="0"/>
              <w:pageBreakBefore w:val="0"/>
              <w:widowControl w:val="0"/>
              <w:kinsoku/>
              <w:wordWrap/>
              <w:overflowPunct/>
              <w:topLinePunct w:val="0"/>
              <w:autoSpaceDE/>
              <w:autoSpaceDN/>
              <w:bidi w:val="0"/>
              <w:adjustRightInd/>
              <w:snapToGrid/>
              <w:spacing w:line="229" w:lineRule="auto"/>
              <w:ind w:left="0" w:leftChars="0" w:right="0" w:righ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便携式直播摄</w:t>
            </w:r>
            <w:r>
              <w:rPr>
                <w:rFonts w:hint="eastAsia" w:ascii="宋体" w:hAnsi="宋体" w:eastAsia="宋体" w:cs="宋体"/>
                <w:spacing w:val="-4"/>
                <w:sz w:val="21"/>
                <w:szCs w:val="21"/>
              </w:rPr>
              <w:t>像机</w:t>
            </w:r>
          </w:p>
        </w:tc>
        <w:tc>
          <w:tcPr>
            <w:tcW w:w="3365" w:type="pct"/>
            <w:vAlign w:val="center"/>
          </w:tcPr>
          <w:p w14:paraId="7BA54276">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搭载双摄像头系统、搭载1/1.1英寸及以上CMOS传感器；支持8K视频录制；支持4K/120fps高帧率录制；支持D-Log M 10-bit色彩及激光雷达辅助对焦；配备可旋转触摸屏；内置四麦克风阵列；支持AI追踪对焦；典型续航≥180分钟</w:t>
            </w:r>
          </w:p>
        </w:tc>
        <w:tc>
          <w:tcPr>
            <w:tcW w:w="604" w:type="pct"/>
            <w:vAlign w:val="center"/>
          </w:tcPr>
          <w:p w14:paraId="15678291">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496CC8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11428B8D">
            <w:pPr>
              <w:keepNext w:val="0"/>
              <w:keepLines w:val="0"/>
              <w:pageBreakBefore w:val="0"/>
              <w:widowControl w:val="0"/>
              <w:kinsoku/>
              <w:wordWrap/>
              <w:overflowPunct/>
              <w:topLinePunct w:val="0"/>
              <w:autoSpaceDE/>
              <w:autoSpaceDN/>
              <w:bidi w:val="0"/>
              <w:adjustRightInd/>
              <w:snapToGrid/>
              <w:spacing w:line="262" w:lineRule="auto"/>
              <w:ind w:left="0" w:right="0" w:firstLine="0"/>
              <w:jc w:val="center"/>
              <w:textAlignment w:val="auto"/>
              <w:rPr>
                <w:rFonts w:hint="eastAsia" w:ascii="宋体" w:hAnsi="宋体" w:eastAsia="宋体" w:cs="宋体"/>
                <w:sz w:val="21"/>
                <w:szCs w:val="21"/>
              </w:rPr>
            </w:pPr>
          </w:p>
          <w:p w14:paraId="60A061E2">
            <w:pPr>
              <w:keepNext w:val="0"/>
              <w:keepLines w:val="0"/>
              <w:pageBreakBefore w:val="0"/>
              <w:widowControl w:val="0"/>
              <w:kinsoku/>
              <w:wordWrap/>
              <w:overflowPunct/>
              <w:topLinePunct w:val="0"/>
              <w:autoSpaceDE/>
              <w:autoSpaceDN/>
              <w:bidi w:val="0"/>
              <w:adjustRightInd/>
              <w:snapToGrid/>
              <w:spacing w:line="262" w:lineRule="auto"/>
              <w:ind w:left="0" w:right="0" w:firstLine="0"/>
              <w:jc w:val="center"/>
              <w:textAlignment w:val="auto"/>
              <w:rPr>
                <w:rFonts w:hint="eastAsia" w:ascii="宋体" w:hAnsi="宋体" w:eastAsia="宋体" w:cs="宋体"/>
                <w:sz w:val="21"/>
                <w:szCs w:val="21"/>
              </w:rPr>
            </w:pPr>
          </w:p>
          <w:p w14:paraId="2A9F6165">
            <w:pPr>
              <w:keepNext w:val="0"/>
              <w:keepLines w:val="0"/>
              <w:pageBreakBefore w:val="0"/>
              <w:widowControl w:val="0"/>
              <w:kinsoku/>
              <w:wordWrap/>
              <w:overflowPunct/>
              <w:topLinePunct w:val="0"/>
              <w:autoSpaceDE/>
              <w:autoSpaceDN/>
              <w:bidi w:val="0"/>
              <w:adjustRightInd/>
              <w:snapToGrid/>
              <w:spacing w:line="263" w:lineRule="auto"/>
              <w:ind w:left="0" w:right="0" w:firstLine="0"/>
              <w:jc w:val="center"/>
              <w:textAlignment w:val="auto"/>
              <w:rPr>
                <w:rFonts w:hint="eastAsia" w:ascii="宋体" w:hAnsi="宋体" w:eastAsia="宋体" w:cs="宋体"/>
                <w:sz w:val="21"/>
                <w:szCs w:val="21"/>
              </w:rPr>
            </w:pPr>
          </w:p>
          <w:p w14:paraId="4F2470BD">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8</w:t>
            </w:r>
          </w:p>
        </w:tc>
        <w:tc>
          <w:tcPr>
            <w:tcW w:w="704" w:type="pct"/>
            <w:vAlign w:val="center"/>
          </w:tcPr>
          <w:p w14:paraId="26032859">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相机稳定器</w:t>
            </w:r>
          </w:p>
        </w:tc>
        <w:tc>
          <w:tcPr>
            <w:tcW w:w="3365" w:type="pct"/>
            <w:vAlign w:val="center"/>
          </w:tcPr>
          <w:p w14:paraId="6D3A1D45">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1"/>
                <w:sz w:val="21"/>
                <w:szCs w:val="21"/>
              </w:rPr>
              <w:t>最大负载≥4.5kg；最大可控转速平移方向：360</w:t>
            </w:r>
            <w:r>
              <w:rPr>
                <w:rFonts w:hint="eastAsia" w:ascii="宋体" w:hAnsi="宋体" w:eastAsia="宋体" w:cs="宋体"/>
                <w:spacing w:val="-70"/>
                <w:sz w:val="21"/>
                <w:szCs w:val="21"/>
              </w:rPr>
              <w:t xml:space="preserve"> </w:t>
            </w:r>
            <w:r>
              <w:rPr>
                <w:rFonts w:hint="eastAsia" w:ascii="宋体" w:hAnsi="宋体" w:eastAsia="宋体" w:cs="宋体"/>
                <w:spacing w:val="-1"/>
                <w:sz w:val="21"/>
                <w:szCs w:val="21"/>
              </w:rPr>
              <w:t>°/秒，俯仰方</w:t>
            </w:r>
            <w:r>
              <w:rPr>
                <w:rFonts w:hint="eastAsia" w:ascii="宋体" w:hAnsi="宋体" w:eastAsia="宋体" w:cs="宋体"/>
                <w:spacing w:val="-2"/>
                <w:sz w:val="21"/>
                <w:szCs w:val="21"/>
              </w:rPr>
              <w:t>向：360</w:t>
            </w:r>
            <w:r>
              <w:rPr>
                <w:rFonts w:hint="eastAsia" w:ascii="宋体" w:hAnsi="宋体" w:eastAsia="宋体" w:cs="宋体"/>
                <w:spacing w:val="-66"/>
                <w:sz w:val="21"/>
                <w:szCs w:val="21"/>
              </w:rPr>
              <w:t xml:space="preserve"> </w:t>
            </w:r>
            <w:r>
              <w:rPr>
                <w:rFonts w:hint="eastAsia" w:ascii="宋体" w:hAnsi="宋体" w:eastAsia="宋体" w:cs="宋体"/>
                <w:spacing w:val="-2"/>
                <w:sz w:val="21"/>
                <w:szCs w:val="21"/>
              </w:rPr>
              <w:t>°/秒，横滚方向：360</w:t>
            </w:r>
            <w:r>
              <w:rPr>
                <w:rFonts w:hint="eastAsia" w:ascii="宋体" w:hAnsi="宋体" w:eastAsia="宋体" w:cs="宋体"/>
                <w:spacing w:val="-83"/>
                <w:sz w:val="21"/>
                <w:szCs w:val="21"/>
              </w:rPr>
              <w:t xml:space="preserve"> </w:t>
            </w:r>
            <w:r>
              <w:rPr>
                <w:rFonts w:hint="eastAsia" w:ascii="宋体" w:hAnsi="宋体" w:eastAsia="宋体" w:cs="宋体"/>
                <w:spacing w:val="-2"/>
                <w:sz w:val="21"/>
                <w:szCs w:val="21"/>
              </w:rPr>
              <w:t>°/秒机械，限位范围平移轴无</w:t>
            </w:r>
            <w:r>
              <w:rPr>
                <w:rFonts w:hint="eastAsia" w:ascii="宋体" w:hAnsi="宋体" w:eastAsia="宋体" w:cs="宋体"/>
                <w:spacing w:val="-8"/>
                <w:sz w:val="21"/>
                <w:szCs w:val="21"/>
              </w:rPr>
              <w:t>限位，横滚轴 -95</w:t>
            </w:r>
            <w:r>
              <w:rPr>
                <w:rFonts w:hint="eastAsia" w:ascii="宋体" w:hAnsi="宋体" w:eastAsia="宋体" w:cs="宋体"/>
                <w:spacing w:val="-68"/>
                <w:sz w:val="21"/>
                <w:szCs w:val="21"/>
              </w:rPr>
              <w:t xml:space="preserve"> </w:t>
            </w:r>
            <w:r>
              <w:rPr>
                <w:rFonts w:hint="eastAsia" w:ascii="宋体" w:hAnsi="宋体" w:eastAsia="宋体" w:cs="宋体"/>
                <w:spacing w:val="-8"/>
                <w:sz w:val="21"/>
                <w:szCs w:val="21"/>
              </w:rPr>
              <w:t>° 至 240</w:t>
            </w:r>
            <w:r>
              <w:rPr>
                <w:rFonts w:hint="eastAsia" w:ascii="宋体" w:hAnsi="宋体" w:eastAsia="宋体" w:cs="宋体"/>
                <w:spacing w:val="-80"/>
                <w:sz w:val="21"/>
                <w:szCs w:val="21"/>
              </w:rPr>
              <w:t xml:space="preserve"> </w:t>
            </w:r>
            <w:r>
              <w:rPr>
                <w:rFonts w:hint="eastAsia" w:ascii="宋体" w:hAnsi="宋体" w:eastAsia="宋体" w:cs="宋体"/>
                <w:spacing w:val="-8"/>
                <w:sz w:val="21"/>
                <w:szCs w:val="21"/>
              </w:rPr>
              <w:t>°</w:t>
            </w:r>
            <w:r>
              <w:rPr>
                <w:rFonts w:hint="eastAsia" w:ascii="宋体" w:hAnsi="宋体" w:eastAsia="宋体" w:cs="宋体"/>
                <w:spacing w:val="-83"/>
                <w:sz w:val="21"/>
                <w:szCs w:val="21"/>
              </w:rPr>
              <w:t xml:space="preserve"> </w:t>
            </w:r>
            <w:r>
              <w:rPr>
                <w:rFonts w:hint="eastAsia" w:ascii="宋体" w:hAnsi="宋体" w:eastAsia="宋体" w:cs="宋体"/>
                <w:spacing w:val="-8"/>
                <w:sz w:val="21"/>
                <w:szCs w:val="21"/>
              </w:rPr>
              <w:t>,</w:t>
            </w:r>
            <w:r>
              <w:rPr>
                <w:rFonts w:hint="eastAsia" w:ascii="宋体" w:hAnsi="宋体" w:eastAsia="宋体" w:cs="宋体"/>
                <w:spacing w:val="60"/>
                <w:sz w:val="21"/>
                <w:szCs w:val="21"/>
              </w:rPr>
              <w:t xml:space="preserve"> </w:t>
            </w:r>
            <w:r>
              <w:rPr>
                <w:rFonts w:hint="eastAsia" w:ascii="宋体" w:hAnsi="宋体" w:eastAsia="宋体" w:cs="宋体"/>
                <w:spacing w:val="-8"/>
                <w:sz w:val="21"/>
                <w:szCs w:val="21"/>
              </w:rPr>
              <w:t>俯仰轴</w:t>
            </w:r>
            <w:r>
              <w:rPr>
                <w:rFonts w:hint="eastAsia" w:ascii="宋体" w:hAnsi="宋体" w:eastAsia="宋体" w:cs="宋体"/>
                <w:spacing w:val="7"/>
                <w:sz w:val="21"/>
                <w:szCs w:val="21"/>
              </w:rPr>
              <w:t xml:space="preserve"> </w:t>
            </w:r>
            <w:r>
              <w:rPr>
                <w:rFonts w:hint="eastAsia" w:ascii="宋体" w:hAnsi="宋体" w:eastAsia="宋体" w:cs="宋体"/>
                <w:spacing w:val="-8"/>
                <w:sz w:val="21"/>
                <w:szCs w:val="21"/>
              </w:rPr>
              <w:t>-112</w:t>
            </w:r>
            <w:r>
              <w:rPr>
                <w:rFonts w:hint="eastAsia" w:ascii="宋体" w:hAnsi="宋体" w:eastAsia="宋体" w:cs="宋体"/>
                <w:spacing w:val="-82"/>
                <w:sz w:val="21"/>
                <w:szCs w:val="21"/>
              </w:rPr>
              <w:t xml:space="preserve"> </w:t>
            </w:r>
            <w:r>
              <w:rPr>
                <w:rFonts w:hint="eastAsia" w:ascii="宋体" w:hAnsi="宋体" w:eastAsia="宋体" w:cs="宋体"/>
                <w:spacing w:val="-8"/>
                <w:sz w:val="21"/>
                <w:szCs w:val="21"/>
              </w:rPr>
              <w:t>°</w:t>
            </w:r>
            <w:r>
              <w:rPr>
                <w:rFonts w:hint="eastAsia" w:ascii="宋体" w:hAnsi="宋体" w:eastAsia="宋体" w:cs="宋体"/>
                <w:spacing w:val="11"/>
                <w:sz w:val="21"/>
                <w:szCs w:val="21"/>
              </w:rPr>
              <w:t xml:space="preserve"> </w:t>
            </w:r>
            <w:r>
              <w:rPr>
                <w:rFonts w:hint="eastAsia" w:ascii="宋体" w:hAnsi="宋体" w:eastAsia="宋体" w:cs="宋体"/>
                <w:spacing w:val="-8"/>
                <w:sz w:val="21"/>
                <w:szCs w:val="21"/>
              </w:rPr>
              <w:t>至</w:t>
            </w:r>
            <w:r>
              <w:rPr>
                <w:rFonts w:hint="eastAsia" w:ascii="宋体" w:hAnsi="宋体" w:eastAsia="宋体" w:cs="宋体"/>
                <w:spacing w:val="12"/>
                <w:sz w:val="21"/>
                <w:szCs w:val="21"/>
              </w:rPr>
              <w:t xml:space="preserve"> </w:t>
            </w:r>
            <w:r>
              <w:rPr>
                <w:rFonts w:hint="eastAsia" w:ascii="宋体" w:hAnsi="宋体" w:eastAsia="宋体" w:cs="宋体"/>
                <w:spacing w:val="-8"/>
                <w:sz w:val="21"/>
                <w:szCs w:val="21"/>
              </w:rPr>
              <w:t>214</w:t>
            </w:r>
            <w:r>
              <w:rPr>
                <w:rFonts w:hint="eastAsia" w:ascii="宋体" w:hAnsi="宋体" w:eastAsia="宋体" w:cs="宋体"/>
                <w:spacing w:val="-79"/>
                <w:sz w:val="21"/>
                <w:szCs w:val="21"/>
              </w:rPr>
              <w:t xml:space="preserve"> </w:t>
            </w:r>
            <w:r>
              <w:rPr>
                <w:rFonts w:hint="eastAsia" w:ascii="宋体" w:hAnsi="宋体" w:eastAsia="宋体" w:cs="宋体"/>
                <w:spacing w:val="-8"/>
                <w:sz w:val="21"/>
                <w:szCs w:val="21"/>
              </w:rPr>
              <w:t>°</w:t>
            </w:r>
            <w:r>
              <w:rPr>
                <w:rFonts w:hint="eastAsia" w:ascii="宋体" w:hAnsi="宋体" w:eastAsia="宋体" w:cs="宋体"/>
                <w:spacing w:val="-83"/>
                <w:sz w:val="21"/>
                <w:szCs w:val="21"/>
              </w:rPr>
              <w:t xml:space="preserve"> </w:t>
            </w:r>
            <w:r>
              <w:rPr>
                <w:rFonts w:hint="eastAsia" w:ascii="宋体" w:hAnsi="宋体" w:eastAsia="宋体" w:cs="宋体"/>
                <w:spacing w:val="-8"/>
                <w:sz w:val="21"/>
                <w:szCs w:val="21"/>
              </w:rPr>
              <w:t>；配</w:t>
            </w:r>
            <w:r>
              <w:rPr>
                <w:rFonts w:hint="eastAsia" w:ascii="宋体" w:hAnsi="宋体" w:eastAsia="宋体" w:cs="宋体"/>
                <w:sz w:val="21"/>
                <w:szCs w:val="21"/>
              </w:rPr>
              <w:t>备可更换电池；单次续航≥12小时；支持蓝牙控制；适配全画幅专业相机，原生横竖拍切换；支持LiDAR 智能跟焦；含配套</w:t>
            </w:r>
            <w:r>
              <w:rPr>
                <w:rFonts w:hint="eastAsia" w:ascii="宋体" w:hAnsi="宋体" w:eastAsia="宋体" w:cs="宋体"/>
                <w:spacing w:val="-1"/>
                <w:sz w:val="21"/>
                <w:szCs w:val="21"/>
              </w:rPr>
              <w:t>快装板、延长脚架</w:t>
            </w:r>
          </w:p>
        </w:tc>
        <w:tc>
          <w:tcPr>
            <w:tcW w:w="604" w:type="pct"/>
            <w:vAlign w:val="center"/>
          </w:tcPr>
          <w:p w14:paraId="32A69254">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r w14:paraId="120EE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95" w:hRule="atLeast"/>
        </w:trPr>
        <w:tc>
          <w:tcPr>
            <w:tcW w:w="325" w:type="pct"/>
            <w:vAlign w:val="center"/>
          </w:tcPr>
          <w:p w14:paraId="5BE34401">
            <w:pPr>
              <w:keepNext w:val="0"/>
              <w:keepLines w:val="0"/>
              <w:pageBreakBefore w:val="0"/>
              <w:widowControl w:val="0"/>
              <w:kinsoku/>
              <w:wordWrap/>
              <w:overflowPunct/>
              <w:topLinePunct w:val="0"/>
              <w:autoSpaceDE/>
              <w:autoSpaceDN/>
              <w:bidi w:val="0"/>
              <w:adjustRightInd/>
              <w:snapToGrid/>
              <w:spacing w:line="413" w:lineRule="auto"/>
              <w:ind w:left="0" w:right="0" w:firstLine="0"/>
              <w:jc w:val="center"/>
              <w:textAlignment w:val="auto"/>
              <w:rPr>
                <w:rFonts w:hint="eastAsia" w:ascii="宋体" w:hAnsi="宋体" w:eastAsia="宋体" w:cs="宋体"/>
                <w:sz w:val="21"/>
                <w:szCs w:val="21"/>
              </w:rPr>
            </w:pPr>
          </w:p>
          <w:p w14:paraId="5A0A6625">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9</w:t>
            </w:r>
          </w:p>
        </w:tc>
        <w:tc>
          <w:tcPr>
            <w:tcW w:w="704" w:type="pct"/>
            <w:vAlign w:val="center"/>
          </w:tcPr>
          <w:p w14:paraId="47A08AE4">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相机镜头</w:t>
            </w:r>
          </w:p>
        </w:tc>
        <w:tc>
          <w:tcPr>
            <w:tcW w:w="3365" w:type="pct"/>
            <w:vAlign w:val="center"/>
          </w:tcPr>
          <w:p w14:paraId="668069B5">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全画幅E卡口；最大光圈≥F1.4；焦距50mm；支持自动对焦；适</w:t>
            </w:r>
            <w:r>
              <w:rPr>
                <w:rFonts w:hint="eastAsia" w:ascii="宋体" w:hAnsi="宋体" w:eastAsia="宋体" w:cs="宋体"/>
                <w:spacing w:val="-1"/>
                <w:sz w:val="21"/>
                <w:szCs w:val="21"/>
              </w:rPr>
              <w:t>配全画幅微单相机</w:t>
            </w:r>
          </w:p>
        </w:tc>
        <w:tc>
          <w:tcPr>
            <w:tcW w:w="604" w:type="pct"/>
            <w:vAlign w:val="center"/>
          </w:tcPr>
          <w:p w14:paraId="60CCA946">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p>
          <w:p w14:paraId="69C1F3FD">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4BAC9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649E7F00">
            <w:pPr>
              <w:keepNext w:val="0"/>
              <w:keepLines w:val="0"/>
              <w:pageBreakBefore w:val="0"/>
              <w:widowControl w:val="0"/>
              <w:kinsoku/>
              <w:wordWrap/>
              <w:overflowPunct/>
              <w:topLinePunct w:val="0"/>
              <w:autoSpaceDE/>
              <w:autoSpaceDN/>
              <w:bidi w:val="0"/>
              <w:adjustRightInd/>
              <w:snapToGrid/>
              <w:spacing w:line="286" w:lineRule="auto"/>
              <w:ind w:left="0" w:right="0" w:firstLine="0"/>
              <w:jc w:val="center"/>
              <w:textAlignment w:val="auto"/>
              <w:rPr>
                <w:rFonts w:hint="eastAsia" w:ascii="宋体" w:hAnsi="宋体" w:eastAsia="宋体" w:cs="宋体"/>
                <w:sz w:val="21"/>
                <w:szCs w:val="21"/>
              </w:rPr>
            </w:pPr>
          </w:p>
          <w:p w14:paraId="655D183B">
            <w:pPr>
              <w:keepNext w:val="0"/>
              <w:keepLines w:val="0"/>
              <w:pageBreakBefore w:val="0"/>
              <w:widowControl w:val="0"/>
              <w:kinsoku/>
              <w:wordWrap/>
              <w:overflowPunct/>
              <w:topLinePunct w:val="0"/>
              <w:autoSpaceDE/>
              <w:autoSpaceDN/>
              <w:bidi w:val="0"/>
              <w:adjustRightInd/>
              <w:snapToGrid/>
              <w:spacing w:line="286" w:lineRule="auto"/>
              <w:ind w:left="0" w:right="0" w:firstLine="0"/>
              <w:jc w:val="center"/>
              <w:textAlignment w:val="auto"/>
              <w:rPr>
                <w:rFonts w:hint="eastAsia" w:ascii="宋体" w:hAnsi="宋体" w:eastAsia="宋体" w:cs="宋体"/>
                <w:sz w:val="21"/>
                <w:szCs w:val="21"/>
              </w:rPr>
            </w:pPr>
          </w:p>
          <w:p w14:paraId="1619198F">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10</w:t>
            </w:r>
          </w:p>
        </w:tc>
        <w:tc>
          <w:tcPr>
            <w:tcW w:w="704" w:type="pct"/>
            <w:vAlign w:val="center"/>
          </w:tcPr>
          <w:p w14:paraId="6FAF86F6">
            <w:pPr>
              <w:pStyle w:val="20"/>
              <w:keepNext w:val="0"/>
              <w:keepLines w:val="0"/>
              <w:pageBreakBefore w:val="0"/>
              <w:widowControl w:val="0"/>
              <w:kinsoku/>
              <w:wordWrap/>
              <w:overflowPunct/>
              <w:topLinePunct w:val="0"/>
              <w:autoSpaceDE/>
              <w:autoSpaceDN/>
              <w:bidi w:val="0"/>
              <w:adjustRightInd/>
              <w:snapToGrid/>
              <w:spacing w:line="234" w:lineRule="auto"/>
              <w:ind w:left="0" w:leftChars="0" w:right="0" w:righ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直播相机假电</w:t>
            </w:r>
            <w:r>
              <w:rPr>
                <w:rFonts w:hint="eastAsia" w:ascii="宋体" w:hAnsi="宋体" w:eastAsia="宋体" w:cs="宋体"/>
                <w:sz w:val="21"/>
                <w:szCs w:val="21"/>
              </w:rPr>
              <w:t>池</w:t>
            </w:r>
          </w:p>
        </w:tc>
        <w:tc>
          <w:tcPr>
            <w:tcW w:w="3365" w:type="pct"/>
            <w:vAlign w:val="center"/>
          </w:tcPr>
          <w:p w14:paraId="10CA4CA5">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DC直流电供电；3C认证，适配索尼全画幅微单相机；支持长时间直播供电；含配套电源适配器，输入： 100-240</w:t>
            </w:r>
            <w:r>
              <w:rPr>
                <w:rFonts w:hint="eastAsia" w:ascii="宋体" w:hAnsi="宋体" w:eastAsia="宋体" w:cs="宋体"/>
                <w:spacing w:val="-1"/>
                <w:sz w:val="21"/>
                <w:szCs w:val="21"/>
              </w:rPr>
              <w:t>V 50/60Hz</w:t>
            </w:r>
          </w:p>
          <w:p w14:paraId="4C63377B">
            <w:pPr>
              <w:pStyle w:val="20"/>
              <w:keepNext w:val="0"/>
              <w:keepLines w:val="0"/>
              <w:pageBreakBefore w:val="0"/>
              <w:widowControl w:val="0"/>
              <w:kinsoku/>
              <w:wordWrap/>
              <w:overflowPunct/>
              <w:topLinePunct w:val="0"/>
              <w:autoSpaceDE/>
              <w:autoSpaceDN/>
              <w:bidi w:val="0"/>
              <w:adjustRightInd/>
              <w:snapToGrid/>
              <w:spacing w:line="227"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1"/>
                <w:sz w:val="21"/>
                <w:szCs w:val="21"/>
              </w:rPr>
              <w:t>1A Max输  出： 8V=3A</w:t>
            </w:r>
            <w:r>
              <w:rPr>
                <w:rFonts w:hint="eastAsia" w:ascii="宋体" w:hAnsi="宋体" w:eastAsia="宋体" w:cs="宋体"/>
                <w:spacing w:val="12"/>
                <w:sz w:val="21"/>
                <w:szCs w:val="21"/>
              </w:rPr>
              <w:t xml:space="preserve"> </w:t>
            </w:r>
            <w:r>
              <w:rPr>
                <w:rFonts w:hint="eastAsia" w:ascii="宋体" w:hAnsi="宋体" w:eastAsia="宋体" w:cs="宋体"/>
                <w:spacing w:val="-1"/>
                <w:sz w:val="21"/>
                <w:szCs w:val="21"/>
              </w:rPr>
              <w:t>24W电源适配器尺寸：</w:t>
            </w:r>
            <w:r>
              <w:rPr>
                <w:rFonts w:hint="eastAsia" w:ascii="宋体" w:hAnsi="宋体" w:eastAsia="宋体" w:cs="宋体"/>
                <w:spacing w:val="13"/>
                <w:sz w:val="21"/>
                <w:szCs w:val="21"/>
              </w:rPr>
              <w:t xml:space="preserve"> </w:t>
            </w:r>
            <w:r>
              <w:rPr>
                <w:rFonts w:hint="eastAsia" w:ascii="宋体" w:hAnsi="宋体" w:eastAsia="宋体" w:cs="宋体"/>
                <w:spacing w:val="-1"/>
                <w:sz w:val="21"/>
                <w:szCs w:val="21"/>
              </w:rPr>
              <w:t>25.8*46*94.6mm模拟电池线长： 1m适配器DC线长：</w:t>
            </w:r>
            <w:r>
              <w:rPr>
                <w:rFonts w:hint="eastAsia" w:ascii="宋体" w:hAnsi="宋体" w:eastAsia="宋体" w:cs="宋体"/>
                <w:spacing w:val="38"/>
                <w:sz w:val="21"/>
                <w:szCs w:val="21"/>
              </w:rPr>
              <w:t xml:space="preserve"> </w:t>
            </w:r>
            <w:r>
              <w:rPr>
                <w:rFonts w:hint="eastAsia" w:ascii="宋体" w:hAnsi="宋体" w:eastAsia="宋体" w:cs="宋体"/>
                <w:spacing w:val="-1"/>
                <w:sz w:val="21"/>
                <w:szCs w:val="21"/>
              </w:rPr>
              <w:t>1.2m，8字形AC线长：</w:t>
            </w:r>
          </w:p>
          <w:p w14:paraId="292EBB43">
            <w:pPr>
              <w:pStyle w:val="20"/>
              <w:keepNext w:val="0"/>
              <w:keepLines w:val="0"/>
              <w:pageBreakBefore w:val="0"/>
              <w:widowControl w:val="0"/>
              <w:kinsoku/>
              <w:wordWrap/>
              <w:overflowPunct/>
              <w:topLinePunct w:val="0"/>
              <w:autoSpaceDE/>
              <w:autoSpaceDN/>
              <w:bidi w:val="0"/>
              <w:adjustRightInd/>
              <w:snapToGrid/>
              <w:spacing w:line="238"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7"/>
                <w:sz w:val="21"/>
                <w:szCs w:val="21"/>
              </w:rPr>
              <w:t>1.5m</w:t>
            </w:r>
          </w:p>
        </w:tc>
        <w:tc>
          <w:tcPr>
            <w:tcW w:w="604" w:type="pct"/>
            <w:vAlign w:val="center"/>
          </w:tcPr>
          <w:p w14:paraId="77156EE2">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14:paraId="0D071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95" w:hRule="atLeast"/>
        </w:trPr>
        <w:tc>
          <w:tcPr>
            <w:tcW w:w="325" w:type="pct"/>
            <w:vAlign w:val="center"/>
          </w:tcPr>
          <w:p w14:paraId="1538B713">
            <w:pPr>
              <w:keepNext w:val="0"/>
              <w:keepLines w:val="0"/>
              <w:pageBreakBefore w:val="0"/>
              <w:widowControl w:val="0"/>
              <w:kinsoku/>
              <w:wordWrap/>
              <w:overflowPunct/>
              <w:topLinePunct w:val="0"/>
              <w:autoSpaceDE/>
              <w:autoSpaceDN/>
              <w:bidi w:val="0"/>
              <w:adjustRightInd/>
              <w:snapToGrid/>
              <w:spacing w:line="257" w:lineRule="auto"/>
              <w:ind w:left="0" w:right="0" w:firstLine="0"/>
              <w:jc w:val="center"/>
              <w:textAlignment w:val="auto"/>
              <w:rPr>
                <w:rFonts w:hint="eastAsia" w:ascii="宋体" w:hAnsi="宋体" w:eastAsia="宋体" w:cs="宋体"/>
                <w:sz w:val="21"/>
                <w:szCs w:val="21"/>
              </w:rPr>
            </w:pPr>
          </w:p>
          <w:p w14:paraId="2141728E">
            <w:pPr>
              <w:keepNext w:val="0"/>
              <w:keepLines w:val="0"/>
              <w:pageBreakBefore w:val="0"/>
              <w:widowControl w:val="0"/>
              <w:kinsoku/>
              <w:wordWrap/>
              <w:overflowPunct/>
              <w:topLinePunct w:val="0"/>
              <w:autoSpaceDE/>
              <w:autoSpaceDN/>
              <w:bidi w:val="0"/>
              <w:adjustRightInd/>
              <w:snapToGrid/>
              <w:spacing w:line="257" w:lineRule="auto"/>
              <w:ind w:left="0" w:right="0" w:firstLine="0"/>
              <w:jc w:val="center"/>
              <w:textAlignment w:val="auto"/>
              <w:rPr>
                <w:rFonts w:hint="eastAsia" w:ascii="宋体" w:hAnsi="宋体" w:eastAsia="宋体" w:cs="宋体"/>
                <w:sz w:val="21"/>
                <w:szCs w:val="21"/>
              </w:rPr>
            </w:pPr>
          </w:p>
          <w:p w14:paraId="79EA4605">
            <w:pPr>
              <w:pStyle w:val="20"/>
              <w:keepNext w:val="0"/>
              <w:keepLines w:val="0"/>
              <w:pageBreakBefore w:val="0"/>
              <w:widowControl w:val="0"/>
              <w:kinsoku/>
              <w:wordWrap/>
              <w:overflowPunct/>
              <w:topLinePunct w:val="0"/>
              <w:autoSpaceDE/>
              <w:autoSpaceDN/>
              <w:bidi w:val="0"/>
              <w:adjustRightInd/>
              <w:snapToGrid/>
              <w:spacing w:line="241" w:lineRule="auto"/>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11</w:t>
            </w:r>
          </w:p>
        </w:tc>
        <w:tc>
          <w:tcPr>
            <w:tcW w:w="704" w:type="pct"/>
            <w:vAlign w:val="center"/>
          </w:tcPr>
          <w:p w14:paraId="61D64649">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直播监听耳机</w:t>
            </w:r>
          </w:p>
        </w:tc>
        <w:tc>
          <w:tcPr>
            <w:tcW w:w="3365" w:type="pct"/>
            <w:vAlign w:val="center"/>
          </w:tcPr>
          <w:p w14:paraId="47F2CA13">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pacing w:val="-1"/>
                <w:sz w:val="21"/>
                <w:szCs w:val="21"/>
              </w:rPr>
              <w:t>头戴式；处理器≥QN3，支持DSEE Extreme</w:t>
            </w:r>
            <w:r>
              <w:rPr>
                <w:rFonts w:hint="eastAsia" w:ascii="宋体" w:hAnsi="宋体" w:eastAsia="宋体" w:cs="宋体"/>
                <w:spacing w:val="44"/>
                <w:sz w:val="21"/>
                <w:szCs w:val="21"/>
              </w:rPr>
              <w:t xml:space="preserve"> </w:t>
            </w:r>
            <w:r>
              <w:rPr>
                <w:rFonts w:hint="eastAsia" w:ascii="宋体" w:hAnsi="宋体" w:eastAsia="宋体" w:cs="宋体"/>
                <w:spacing w:val="-1"/>
                <w:sz w:val="21"/>
                <w:szCs w:val="21"/>
              </w:rPr>
              <w:t>;支</w:t>
            </w:r>
            <w:r>
              <w:rPr>
                <w:rFonts w:hint="eastAsia" w:ascii="宋体" w:hAnsi="宋体" w:eastAsia="宋体" w:cs="宋体"/>
                <w:spacing w:val="-2"/>
                <w:sz w:val="21"/>
                <w:szCs w:val="21"/>
              </w:rPr>
              <w:t>持主动降噪；支</w:t>
            </w:r>
            <w:r>
              <w:rPr>
                <w:rFonts w:hint="eastAsia" w:ascii="宋体" w:hAnsi="宋体" w:eastAsia="宋体" w:cs="宋体"/>
                <w:sz w:val="21"/>
                <w:szCs w:val="21"/>
              </w:rPr>
              <w:t>持通话降噪；Type-C充电接口；单次续航≥30小时；适配直播</w:t>
            </w:r>
            <w:r>
              <w:rPr>
                <w:rFonts w:hint="eastAsia" w:ascii="宋体" w:hAnsi="宋体" w:eastAsia="宋体" w:cs="宋体"/>
                <w:spacing w:val="4"/>
                <w:sz w:val="21"/>
                <w:szCs w:val="21"/>
              </w:rPr>
              <w:t xml:space="preserve">  </w:t>
            </w:r>
            <w:r>
              <w:rPr>
                <w:rFonts w:hint="eastAsia" w:ascii="宋体" w:hAnsi="宋体" w:eastAsia="宋体" w:cs="宋体"/>
                <w:spacing w:val="-2"/>
                <w:sz w:val="21"/>
                <w:szCs w:val="21"/>
              </w:rPr>
              <w:t>、监听场景</w:t>
            </w:r>
          </w:p>
        </w:tc>
        <w:tc>
          <w:tcPr>
            <w:tcW w:w="604" w:type="pct"/>
            <w:vAlign w:val="center"/>
          </w:tcPr>
          <w:p w14:paraId="47FB4071">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2</w:t>
            </w:r>
          </w:p>
        </w:tc>
      </w:tr>
      <w:tr w14:paraId="5940D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5" w:hRule="atLeast"/>
        </w:trPr>
        <w:tc>
          <w:tcPr>
            <w:tcW w:w="325" w:type="pct"/>
            <w:vAlign w:val="center"/>
          </w:tcPr>
          <w:p w14:paraId="7AF0900B">
            <w:pPr>
              <w:keepNext w:val="0"/>
              <w:keepLines w:val="0"/>
              <w:pageBreakBefore w:val="0"/>
              <w:widowControl w:val="0"/>
              <w:kinsoku/>
              <w:wordWrap/>
              <w:overflowPunct/>
              <w:topLinePunct w:val="0"/>
              <w:autoSpaceDE/>
              <w:autoSpaceDN/>
              <w:bidi w:val="0"/>
              <w:adjustRightInd/>
              <w:snapToGrid/>
              <w:spacing w:line="257" w:lineRule="auto"/>
              <w:ind w:left="0" w:right="0" w:firstLine="0"/>
              <w:jc w:val="center"/>
              <w:textAlignment w:val="auto"/>
              <w:rPr>
                <w:rFonts w:hint="eastAsia" w:ascii="宋体" w:hAnsi="宋体" w:eastAsia="宋体" w:cs="宋体"/>
                <w:sz w:val="21"/>
                <w:szCs w:val="21"/>
              </w:rPr>
            </w:pPr>
          </w:p>
          <w:p w14:paraId="2F8D5848">
            <w:pPr>
              <w:keepNext w:val="0"/>
              <w:keepLines w:val="0"/>
              <w:pageBreakBefore w:val="0"/>
              <w:widowControl w:val="0"/>
              <w:kinsoku/>
              <w:wordWrap/>
              <w:overflowPunct/>
              <w:topLinePunct w:val="0"/>
              <w:autoSpaceDE/>
              <w:autoSpaceDN/>
              <w:bidi w:val="0"/>
              <w:adjustRightInd/>
              <w:snapToGrid/>
              <w:spacing w:line="258" w:lineRule="auto"/>
              <w:ind w:left="0" w:right="0" w:firstLine="0"/>
              <w:jc w:val="center"/>
              <w:textAlignment w:val="auto"/>
              <w:rPr>
                <w:rFonts w:hint="eastAsia" w:ascii="宋体" w:hAnsi="宋体" w:eastAsia="宋体" w:cs="宋体"/>
                <w:sz w:val="21"/>
                <w:szCs w:val="21"/>
              </w:rPr>
            </w:pPr>
          </w:p>
          <w:p w14:paraId="40F6F254">
            <w:pPr>
              <w:pStyle w:val="20"/>
              <w:keepNext w:val="0"/>
              <w:keepLines w:val="0"/>
              <w:pageBreakBefore w:val="0"/>
              <w:widowControl w:val="0"/>
              <w:kinsoku/>
              <w:wordWrap/>
              <w:overflowPunct/>
              <w:topLinePunct w:val="0"/>
              <w:autoSpaceDE/>
              <w:autoSpaceDN/>
              <w:bidi w:val="0"/>
              <w:adjustRightInd/>
              <w:snapToGrid/>
              <w:spacing w:line="241" w:lineRule="auto"/>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12</w:t>
            </w:r>
          </w:p>
        </w:tc>
        <w:tc>
          <w:tcPr>
            <w:tcW w:w="704" w:type="pct"/>
            <w:vAlign w:val="center"/>
          </w:tcPr>
          <w:p w14:paraId="0E3F7EE8">
            <w:pPr>
              <w:keepNext w:val="0"/>
              <w:keepLines w:val="0"/>
              <w:pageBreakBefore w:val="0"/>
              <w:widowControl w:val="0"/>
              <w:kinsoku/>
              <w:wordWrap/>
              <w:overflowPunct/>
              <w:topLinePunct w:val="0"/>
              <w:autoSpaceDE/>
              <w:autoSpaceDN/>
              <w:bidi w:val="0"/>
              <w:adjustRightInd/>
              <w:snapToGrid/>
              <w:spacing w:line="258" w:lineRule="auto"/>
              <w:ind w:left="0" w:right="0" w:firstLine="0"/>
              <w:jc w:val="center"/>
              <w:textAlignment w:val="auto"/>
              <w:rPr>
                <w:rFonts w:hint="eastAsia" w:ascii="宋体" w:hAnsi="宋体" w:eastAsia="宋体" w:cs="宋体"/>
                <w:sz w:val="21"/>
                <w:szCs w:val="21"/>
              </w:rPr>
            </w:pPr>
          </w:p>
          <w:p w14:paraId="0410C1BF">
            <w:pPr>
              <w:keepNext w:val="0"/>
              <w:keepLines w:val="0"/>
              <w:pageBreakBefore w:val="0"/>
              <w:widowControl w:val="0"/>
              <w:kinsoku/>
              <w:wordWrap/>
              <w:overflowPunct/>
              <w:topLinePunct w:val="0"/>
              <w:autoSpaceDE/>
              <w:autoSpaceDN/>
              <w:bidi w:val="0"/>
              <w:adjustRightInd/>
              <w:snapToGrid/>
              <w:spacing w:line="258" w:lineRule="auto"/>
              <w:ind w:left="0" w:right="0" w:firstLine="0"/>
              <w:jc w:val="center"/>
              <w:textAlignment w:val="auto"/>
              <w:rPr>
                <w:rFonts w:hint="eastAsia" w:ascii="宋体" w:hAnsi="宋体" w:eastAsia="宋体" w:cs="宋体"/>
                <w:sz w:val="21"/>
                <w:szCs w:val="21"/>
              </w:rPr>
            </w:pPr>
          </w:p>
          <w:p w14:paraId="13B216AB">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直播中枢</w:t>
            </w:r>
          </w:p>
        </w:tc>
        <w:tc>
          <w:tcPr>
            <w:tcW w:w="3365" w:type="pct"/>
            <w:vAlign w:val="center"/>
          </w:tcPr>
          <w:p w14:paraId="52FBFC98">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pacing w:val="-1"/>
                <w:sz w:val="21"/>
                <w:szCs w:val="21"/>
              </w:rPr>
              <w:t>处理器≥U7-251HX；内存≥16GB DDR</w:t>
            </w:r>
            <w:r>
              <w:rPr>
                <w:rFonts w:hint="eastAsia" w:ascii="宋体" w:hAnsi="宋体" w:eastAsia="宋体" w:cs="宋体"/>
                <w:spacing w:val="-2"/>
                <w:sz w:val="21"/>
                <w:szCs w:val="21"/>
              </w:rPr>
              <w:t>5；存储≥1TB NVMe SSD；</w:t>
            </w:r>
            <w:r>
              <w:rPr>
                <w:rFonts w:hint="eastAsia" w:ascii="宋体" w:hAnsi="宋体" w:eastAsia="宋体" w:cs="宋体"/>
                <w:spacing w:val="-1"/>
                <w:sz w:val="21"/>
                <w:szCs w:val="21"/>
              </w:rPr>
              <w:t>显卡≥RTX5060；屏幕≥2.5K分辨率、</w:t>
            </w:r>
            <w:r>
              <w:rPr>
                <w:rFonts w:hint="eastAsia" w:ascii="宋体" w:hAnsi="宋体" w:eastAsia="宋体" w:cs="宋体"/>
                <w:spacing w:val="-70"/>
                <w:sz w:val="21"/>
                <w:szCs w:val="21"/>
              </w:rPr>
              <w:t xml:space="preserve"> </w:t>
            </w:r>
            <w:r>
              <w:rPr>
                <w:rFonts w:hint="eastAsia" w:ascii="宋体" w:hAnsi="宋体" w:eastAsia="宋体" w:cs="宋体"/>
                <w:spacing w:val="-1"/>
                <w:sz w:val="21"/>
                <w:szCs w:val="21"/>
              </w:rPr>
              <w:t>≥300Hz刷新率；适配直</w:t>
            </w:r>
            <w:r>
              <w:rPr>
                <w:rFonts w:hint="eastAsia" w:ascii="宋体" w:hAnsi="宋体" w:eastAsia="宋体" w:cs="宋体"/>
                <w:sz w:val="21"/>
                <w:szCs w:val="21"/>
              </w:rPr>
              <w:t>播、视频剪辑、图形处理场景</w:t>
            </w:r>
          </w:p>
        </w:tc>
        <w:tc>
          <w:tcPr>
            <w:tcW w:w="604" w:type="pct"/>
            <w:vAlign w:val="center"/>
          </w:tcPr>
          <w:p w14:paraId="07FD4802">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47B75B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93" w:hRule="atLeast"/>
        </w:trPr>
        <w:tc>
          <w:tcPr>
            <w:tcW w:w="325" w:type="pct"/>
            <w:vAlign w:val="center"/>
          </w:tcPr>
          <w:p w14:paraId="78AE025B">
            <w:pPr>
              <w:keepNext w:val="0"/>
              <w:keepLines w:val="0"/>
              <w:pageBreakBefore w:val="0"/>
              <w:widowControl w:val="0"/>
              <w:kinsoku/>
              <w:wordWrap/>
              <w:overflowPunct/>
              <w:topLinePunct w:val="0"/>
              <w:autoSpaceDE/>
              <w:autoSpaceDN/>
              <w:bidi w:val="0"/>
              <w:adjustRightInd/>
              <w:snapToGrid/>
              <w:spacing w:line="348" w:lineRule="auto"/>
              <w:ind w:left="0" w:right="0" w:firstLine="0"/>
              <w:jc w:val="center"/>
              <w:textAlignment w:val="auto"/>
              <w:rPr>
                <w:rFonts w:hint="eastAsia" w:ascii="宋体" w:hAnsi="宋体" w:eastAsia="宋体" w:cs="宋体"/>
                <w:sz w:val="21"/>
                <w:szCs w:val="21"/>
              </w:rPr>
            </w:pPr>
          </w:p>
          <w:p w14:paraId="5CB4912F">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13</w:t>
            </w:r>
          </w:p>
        </w:tc>
        <w:tc>
          <w:tcPr>
            <w:tcW w:w="704" w:type="pct"/>
            <w:vAlign w:val="center"/>
          </w:tcPr>
          <w:p w14:paraId="7F9F3B1E">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便携摄影箱</w:t>
            </w:r>
          </w:p>
        </w:tc>
        <w:tc>
          <w:tcPr>
            <w:tcW w:w="3365" w:type="pct"/>
            <w:vAlign w:val="center"/>
          </w:tcPr>
          <w:p w14:paraId="006AC83A">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pacing w:val="-2"/>
                <w:sz w:val="21"/>
                <w:szCs w:val="21"/>
              </w:rPr>
              <w:t>20英寸；ABS&amp;PC材质；铝框拉杆；四轮万向轮；带TSA密码锁；</w:t>
            </w:r>
            <w:r>
              <w:rPr>
                <w:rFonts w:hint="eastAsia" w:ascii="宋体" w:hAnsi="宋体" w:eastAsia="宋体" w:cs="宋体"/>
                <w:spacing w:val="-1"/>
                <w:sz w:val="21"/>
                <w:szCs w:val="21"/>
              </w:rPr>
              <w:t>含配套箱套、收纳礼包</w:t>
            </w:r>
          </w:p>
        </w:tc>
        <w:tc>
          <w:tcPr>
            <w:tcW w:w="604" w:type="pct"/>
            <w:vAlign w:val="center"/>
          </w:tcPr>
          <w:p w14:paraId="1A850837">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01F9E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52FDBF61">
            <w:pPr>
              <w:keepNext w:val="0"/>
              <w:keepLines w:val="0"/>
              <w:pageBreakBefore w:val="0"/>
              <w:widowControl w:val="0"/>
              <w:kinsoku/>
              <w:wordWrap/>
              <w:overflowPunct/>
              <w:topLinePunct w:val="0"/>
              <w:autoSpaceDE/>
              <w:autoSpaceDN/>
              <w:bidi w:val="0"/>
              <w:adjustRightInd/>
              <w:snapToGrid/>
              <w:spacing w:line="418" w:lineRule="auto"/>
              <w:ind w:left="0" w:right="0" w:firstLine="0"/>
              <w:jc w:val="center"/>
              <w:textAlignment w:val="auto"/>
              <w:rPr>
                <w:rFonts w:hint="eastAsia" w:ascii="宋体" w:hAnsi="宋体" w:eastAsia="宋体" w:cs="宋体"/>
                <w:sz w:val="21"/>
                <w:szCs w:val="21"/>
              </w:rPr>
            </w:pPr>
          </w:p>
          <w:p w14:paraId="27139751">
            <w:pPr>
              <w:pStyle w:val="20"/>
              <w:keepNext w:val="0"/>
              <w:keepLines w:val="0"/>
              <w:pageBreakBefore w:val="0"/>
              <w:widowControl w:val="0"/>
              <w:kinsoku/>
              <w:wordWrap/>
              <w:overflowPunct/>
              <w:topLinePunct w:val="0"/>
              <w:autoSpaceDE/>
              <w:autoSpaceDN/>
              <w:bidi w:val="0"/>
              <w:adjustRightInd/>
              <w:snapToGrid/>
              <w:spacing w:line="241" w:lineRule="auto"/>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14</w:t>
            </w:r>
          </w:p>
        </w:tc>
        <w:tc>
          <w:tcPr>
            <w:tcW w:w="704" w:type="pct"/>
            <w:vAlign w:val="center"/>
          </w:tcPr>
          <w:p w14:paraId="1B5A9424">
            <w:pPr>
              <w:pStyle w:val="20"/>
              <w:keepNext w:val="0"/>
              <w:keepLines w:val="0"/>
              <w:pageBreakBefore w:val="0"/>
              <w:widowControl w:val="0"/>
              <w:kinsoku/>
              <w:wordWrap/>
              <w:overflowPunct/>
              <w:topLinePunct w:val="0"/>
              <w:autoSpaceDE/>
              <w:autoSpaceDN/>
              <w:bidi w:val="0"/>
              <w:adjustRightInd/>
              <w:snapToGrid/>
              <w:spacing w:line="241"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WIFI</w:t>
            </w:r>
          </w:p>
        </w:tc>
        <w:tc>
          <w:tcPr>
            <w:tcW w:w="3365" w:type="pct"/>
            <w:vAlign w:val="center"/>
          </w:tcPr>
          <w:p w14:paraId="467D7C80">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双频1350M及以上；千兆网口；支持企业级防火墙、VPN、行为管理；带机量≥50台；支持多WAN口；适配工作室直播网络场景</w:t>
            </w:r>
          </w:p>
        </w:tc>
        <w:tc>
          <w:tcPr>
            <w:tcW w:w="604" w:type="pct"/>
            <w:vAlign w:val="center"/>
          </w:tcPr>
          <w:p w14:paraId="3CF5AEF5">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1F9DC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8" w:hRule="atLeast"/>
        </w:trPr>
        <w:tc>
          <w:tcPr>
            <w:tcW w:w="325" w:type="pct"/>
            <w:vAlign w:val="center"/>
          </w:tcPr>
          <w:p w14:paraId="19527548">
            <w:pPr>
              <w:keepNext w:val="0"/>
              <w:keepLines w:val="0"/>
              <w:pageBreakBefore w:val="0"/>
              <w:widowControl w:val="0"/>
              <w:kinsoku/>
              <w:wordWrap/>
              <w:overflowPunct/>
              <w:topLinePunct w:val="0"/>
              <w:autoSpaceDE/>
              <w:autoSpaceDN/>
              <w:bidi w:val="0"/>
              <w:adjustRightInd/>
              <w:snapToGrid/>
              <w:spacing w:line="319" w:lineRule="auto"/>
              <w:ind w:left="0" w:right="0" w:firstLine="0"/>
              <w:jc w:val="center"/>
              <w:textAlignment w:val="auto"/>
              <w:rPr>
                <w:rFonts w:hint="eastAsia" w:ascii="宋体" w:hAnsi="宋体" w:eastAsia="宋体" w:cs="宋体"/>
                <w:sz w:val="21"/>
                <w:szCs w:val="21"/>
              </w:rPr>
            </w:pPr>
          </w:p>
          <w:p w14:paraId="2C57B48F">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15</w:t>
            </w:r>
          </w:p>
        </w:tc>
        <w:tc>
          <w:tcPr>
            <w:tcW w:w="704" w:type="pct"/>
            <w:vAlign w:val="center"/>
          </w:tcPr>
          <w:p w14:paraId="717BE1D1">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千兆交换机</w:t>
            </w:r>
          </w:p>
        </w:tc>
        <w:tc>
          <w:tcPr>
            <w:tcW w:w="3365" w:type="pct"/>
            <w:vAlign w:val="center"/>
          </w:tcPr>
          <w:p w14:paraId="38FC2ADA">
            <w:pPr>
              <w:pStyle w:val="20"/>
              <w:keepNext w:val="0"/>
              <w:keepLines w:val="0"/>
              <w:pageBreakBefore w:val="0"/>
              <w:widowControl w:val="0"/>
              <w:kinsoku/>
              <w:wordWrap/>
              <w:overflowPunct/>
              <w:topLinePunct w:val="0"/>
              <w:autoSpaceDE/>
              <w:autoSpaceDN/>
              <w:bidi w:val="0"/>
              <w:adjustRightInd/>
              <w:snapToGrid/>
              <w:spacing w:line="230"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pacing w:val="-3"/>
                <w:sz w:val="21"/>
                <w:szCs w:val="21"/>
              </w:rPr>
              <w:t>≥24个千兆电口；</w:t>
            </w:r>
            <w:r>
              <w:rPr>
                <w:rFonts w:hint="eastAsia" w:ascii="宋体" w:hAnsi="宋体" w:eastAsia="宋体" w:cs="宋体"/>
                <w:spacing w:val="-65"/>
                <w:sz w:val="21"/>
                <w:szCs w:val="21"/>
              </w:rPr>
              <w:t xml:space="preserve"> </w:t>
            </w:r>
            <w:r>
              <w:rPr>
                <w:rFonts w:hint="eastAsia" w:ascii="宋体" w:hAnsi="宋体" w:eastAsia="宋体" w:cs="宋体"/>
                <w:spacing w:val="-3"/>
                <w:sz w:val="21"/>
                <w:szCs w:val="21"/>
              </w:rPr>
              <w:t>≥4个千兆光口；支持三层网管、VLAN划分、</w:t>
            </w:r>
            <w:r>
              <w:rPr>
                <w:rFonts w:hint="eastAsia" w:ascii="宋体" w:hAnsi="宋体" w:eastAsia="宋体" w:cs="宋体"/>
                <w:sz w:val="21"/>
                <w:szCs w:val="21"/>
              </w:rPr>
              <w:t xml:space="preserve"> QoS管理；支持静态路由、RIP、OSPF协议；适配工作室网络组网</w:t>
            </w:r>
          </w:p>
        </w:tc>
        <w:tc>
          <w:tcPr>
            <w:tcW w:w="604" w:type="pct"/>
            <w:vAlign w:val="center"/>
          </w:tcPr>
          <w:p w14:paraId="1CA01E01">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08C21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2" w:hRule="atLeast"/>
        </w:trPr>
        <w:tc>
          <w:tcPr>
            <w:tcW w:w="325" w:type="pct"/>
            <w:vAlign w:val="center"/>
          </w:tcPr>
          <w:p w14:paraId="46545E34">
            <w:pPr>
              <w:keepNext w:val="0"/>
              <w:keepLines w:val="0"/>
              <w:pageBreakBefore w:val="0"/>
              <w:widowControl w:val="0"/>
              <w:kinsoku/>
              <w:wordWrap/>
              <w:overflowPunct/>
              <w:topLinePunct w:val="0"/>
              <w:autoSpaceDE/>
              <w:autoSpaceDN/>
              <w:bidi w:val="0"/>
              <w:adjustRightInd/>
              <w:snapToGrid/>
              <w:spacing w:line="269" w:lineRule="auto"/>
              <w:ind w:left="0" w:right="0" w:firstLine="0"/>
              <w:jc w:val="center"/>
              <w:textAlignment w:val="auto"/>
              <w:rPr>
                <w:rFonts w:hint="eastAsia" w:ascii="宋体" w:hAnsi="宋体" w:eastAsia="宋体" w:cs="宋体"/>
                <w:sz w:val="21"/>
                <w:szCs w:val="21"/>
              </w:rPr>
            </w:pPr>
          </w:p>
          <w:p w14:paraId="251E6B9C">
            <w:pPr>
              <w:keepNext w:val="0"/>
              <w:keepLines w:val="0"/>
              <w:pageBreakBefore w:val="0"/>
              <w:widowControl w:val="0"/>
              <w:kinsoku/>
              <w:wordWrap/>
              <w:overflowPunct/>
              <w:topLinePunct w:val="0"/>
              <w:autoSpaceDE/>
              <w:autoSpaceDN/>
              <w:bidi w:val="0"/>
              <w:adjustRightInd/>
              <w:snapToGrid/>
              <w:spacing w:line="270" w:lineRule="auto"/>
              <w:ind w:left="0" w:right="0" w:firstLine="0"/>
              <w:jc w:val="center"/>
              <w:textAlignment w:val="auto"/>
              <w:rPr>
                <w:rFonts w:hint="eastAsia" w:ascii="宋体" w:hAnsi="宋体" w:eastAsia="宋体" w:cs="宋体"/>
                <w:sz w:val="21"/>
                <w:szCs w:val="21"/>
              </w:rPr>
            </w:pPr>
          </w:p>
          <w:p w14:paraId="7D253069">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16</w:t>
            </w:r>
          </w:p>
        </w:tc>
        <w:tc>
          <w:tcPr>
            <w:tcW w:w="704" w:type="pct"/>
            <w:vAlign w:val="center"/>
          </w:tcPr>
          <w:p w14:paraId="26642C2B">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直播连接线</w:t>
            </w:r>
          </w:p>
        </w:tc>
        <w:tc>
          <w:tcPr>
            <w:tcW w:w="3365" w:type="pct"/>
            <w:vAlign w:val="center"/>
          </w:tcPr>
          <w:p w14:paraId="1433C2A7">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HDMI2.1标准；光纤材质；长度≥10米；支持4K@120Hz、8K@60Hz信号传输；支持eARC音频回传；锌合金接头；双屏蔽</w:t>
            </w:r>
          </w:p>
        </w:tc>
        <w:tc>
          <w:tcPr>
            <w:tcW w:w="604" w:type="pct"/>
            <w:vAlign w:val="center"/>
          </w:tcPr>
          <w:p w14:paraId="78BA35B9">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4</w:t>
            </w:r>
          </w:p>
        </w:tc>
      </w:tr>
      <w:tr w14:paraId="39FE8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54" w:hRule="atLeast"/>
        </w:trPr>
        <w:tc>
          <w:tcPr>
            <w:tcW w:w="325" w:type="pct"/>
            <w:vAlign w:val="center"/>
          </w:tcPr>
          <w:p w14:paraId="65870DB7">
            <w:pPr>
              <w:keepNext w:val="0"/>
              <w:keepLines w:val="0"/>
              <w:pageBreakBefore w:val="0"/>
              <w:widowControl w:val="0"/>
              <w:kinsoku/>
              <w:wordWrap/>
              <w:overflowPunct/>
              <w:topLinePunct w:val="0"/>
              <w:autoSpaceDE/>
              <w:autoSpaceDN/>
              <w:bidi w:val="0"/>
              <w:adjustRightInd/>
              <w:snapToGrid/>
              <w:spacing w:line="298" w:lineRule="auto"/>
              <w:ind w:left="0" w:right="0" w:firstLine="0"/>
              <w:jc w:val="center"/>
              <w:textAlignment w:val="auto"/>
              <w:rPr>
                <w:rFonts w:hint="eastAsia" w:ascii="宋体" w:hAnsi="宋体" w:eastAsia="宋体" w:cs="宋体"/>
                <w:sz w:val="21"/>
                <w:szCs w:val="21"/>
              </w:rPr>
            </w:pPr>
          </w:p>
          <w:p w14:paraId="658AFC20">
            <w:pPr>
              <w:keepNext w:val="0"/>
              <w:keepLines w:val="0"/>
              <w:pageBreakBefore w:val="0"/>
              <w:widowControl w:val="0"/>
              <w:kinsoku/>
              <w:wordWrap/>
              <w:overflowPunct/>
              <w:topLinePunct w:val="0"/>
              <w:autoSpaceDE/>
              <w:autoSpaceDN/>
              <w:bidi w:val="0"/>
              <w:adjustRightInd/>
              <w:snapToGrid/>
              <w:spacing w:line="298" w:lineRule="auto"/>
              <w:ind w:left="0" w:right="0" w:firstLine="0"/>
              <w:jc w:val="center"/>
              <w:textAlignment w:val="auto"/>
              <w:rPr>
                <w:rFonts w:hint="eastAsia" w:ascii="宋体" w:hAnsi="宋体" w:eastAsia="宋体" w:cs="宋体"/>
                <w:sz w:val="21"/>
                <w:szCs w:val="21"/>
              </w:rPr>
            </w:pPr>
          </w:p>
          <w:p w14:paraId="134BB363">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13"/>
                <w:sz w:val="21"/>
                <w:szCs w:val="21"/>
              </w:rPr>
              <w:t>17</w:t>
            </w:r>
          </w:p>
        </w:tc>
        <w:tc>
          <w:tcPr>
            <w:tcW w:w="704" w:type="pct"/>
            <w:vAlign w:val="center"/>
          </w:tcPr>
          <w:p w14:paraId="02C0E7CB">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直播监控副屏</w:t>
            </w:r>
          </w:p>
        </w:tc>
        <w:tc>
          <w:tcPr>
            <w:tcW w:w="3365" w:type="pct"/>
            <w:vAlign w:val="center"/>
          </w:tcPr>
          <w:p w14:paraId="08AAB13D">
            <w:pPr>
              <w:pStyle w:val="20"/>
              <w:keepNext w:val="0"/>
              <w:keepLines w:val="0"/>
              <w:pageBreakBefore w:val="0"/>
              <w:widowControl w:val="0"/>
              <w:kinsoku/>
              <w:wordWrap/>
              <w:overflowPunct/>
              <w:topLinePunct w:val="0"/>
              <w:autoSpaceDE/>
              <w:autoSpaceDN/>
              <w:bidi w:val="0"/>
              <w:adjustRightInd/>
              <w:snapToGrid/>
              <w:spacing w:line="228"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屏幕尺寸≥15.6英寸；分辨率≥2560*1600；刷新率≥240Hz；</w:t>
            </w:r>
            <w:r>
              <w:rPr>
                <w:rFonts w:hint="eastAsia" w:ascii="宋体" w:hAnsi="宋体" w:eastAsia="宋体" w:cs="宋体"/>
                <w:spacing w:val="4"/>
                <w:sz w:val="21"/>
                <w:szCs w:val="21"/>
              </w:rPr>
              <w:t xml:space="preserve"> </w:t>
            </w:r>
            <w:r>
              <w:rPr>
                <w:rFonts w:hint="eastAsia" w:ascii="宋体" w:hAnsi="宋体" w:eastAsia="宋体" w:cs="宋体"/>
                <w:spacing w:val="-2"/>
                <w:sz w:val="21"/>
                <w:szCs w:val="21"/>
              </w:rPr>
              <w:t>IPS技术面板；HDR10；峰值亮度≥300尼特；对比度≥1200:1；</w:t>
            </w:r>
            <w:r>
              <w:rPr>
                <w:rFonts w:hint="eastAsia" w:ascii="宋体" w:hAnsi="宋体" w:eastAsia="宋体" w:cs="宋体"/>
                <w:sz w:val="21"/>
                <w:szCs w:val="21"/>
              </w:rPr>
              <w:t>响应时间≤4ms；支持Type-C一线通；内</w:t>
            </w:r>
            <w:r>
              <w:rPr>
                <w:rFonts w:hint="eastAsia" w:ascii="宋体" w:hAnsi="宋体" w:eastAsia="宋体" w:cs="宋体"/>
                <w:spacing w:val="-1"/>
                <w:sz w:val="21"/>
                <w:szCs w:val="21"/>
              </w:rPr>
              <w:t>置双扬声器</w:t>
            </w:r>
          </w:p>
        </w:tc>
        <w:tc>
          <w:tcPr>
            <w:tcW w:w="604" w:type="pct"/>
            <w:vAlign w:val="center"/>
          </w:tcPr>
          <w:p w14:paraId="6E5DD1BE">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19F9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45" w:hRule="atLeast"/>
        </w:trPr>
        <w:tc>
          <w:tcPr>
            <w:tcW w:w="325" w:type="pct"/>
            <w:vAlign w:val="center"/>
          </w:tcPr>
          <w:p w14:paraId="2ACB9763">
            <w:pPr>
              <w:keepNext w:val="0"/>
              <w:keepLines w:val="0"/>
              <w:pageBreakBefore w:val="0"/>
              <w:widowControl w:val="0"/>
              <w:kinsoku/>
              <w:wordWrap/>
              <w:overflowPunct/>
              <w:topLinePunct w:val="0"/>
              <w:autoSpaceDE/>
              <w:autoSpaceDN/>
              <w:bidi w:val="0"/>
              <w:adjustRightInd/>
              <w:snapToGrid/>
              <w:spacing w:line="270" w:lineRule="auto"/>
              <w:ind w:left="0" w:right="0" w:firstLine="0"/>
              <w:jc w:val="center"/>
              <w:textAlignment w:val="auto"/>
              <w:rPr>
                <w:rFonts w:hint="eastAsia" w:ascii="宋体" w:hAnsi="宋体" w:eastAsia="宋体" w:cs="宋体"/>
                <w:sz w:val="21"/>
                <w:szCs w:val="21"/>
              </w:rPr>
            </w:pPr>
          </w:p>
          <w:p w14:paraId="7BDA2633">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pacing w:val="-13"/>
                <w:sz w:val="21"/>
                <w:szCs w:val="21"/>
              </w:rPr>
            </w:pPr>
            <w:r>
              <w:rPr>
                <w:rFonts w:hint="eastAsia" w:ascii="宋体" w:hAnsi="宋体" w:eastAsia="宋体" w:cs="宋体"/>
                <w:spacing w:val="-13"/>
                <w:sz w:val="21"/>
                <w:szCs w:val="21"/>
              </w:rPr>
              <w:t>18</w:t>
            </w:r>
          </w:p>
        </w:tc>
        <w:tc>
          <w:tcPr>
            <w:tcW w:w="704" w:type="pct"/>
            <w:vAlign w:val="center"/>
          </w:tcPr>
          <w:p w14:paraId="6A4CF324">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储存卡 TF卡</w:t>
            </w:r>
          </w:p>
        </w:tc>
        <w:tc>
          <w:tcPr>
            <w:tcW w:w="3365" w:type="pct"/>
            <w:vAlign w:val="center"/>
          </w:tcPr>
          <w:p w14:paraId="390576C4">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容量≥256GB；U3 A2 V30等级；读取速度≥200MB/s；写入速度</w:t>
            </w:r>
            <w:r>
              <w:rPr>
                <w:rFonts w:hint="eastAsia" w:ascii="宋体" w:hAnsi="宋体" w:eastAsia="宋体" w:cs="宋体"/>
                <w:spacing w:val="-1"/>
                <w:sz w:val="21"/>
                <w:szCs w:val="21"/>
              </w:rPr>
              <w:t>≥120MB/s；适配相机、摄像机、无人机等设备</w:t>
            </w:r>
          </w:p>
        </w:tc>
        <w:tc>
          <w:tcPr>
            <w:tcW w:w="604" w:type="pct"/>
            <w:vAlign w:val="center"/>
          </w:tcPr>
          <w:p w14:paraId="2B58FC5C">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p>
          <w:p w14:paraId="52B8534C">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6EC16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325" w:type="pct"/>
            <w:vAlign w:val="center"/>
          </w:tcPr>
          <w:p w14:paraId="6928D8A9">
            <w:pPr>
              <w:keepNext w:val="0"/>
              <w:keepLines w:val="0"/>
              <w:pageBreakBefore w:val="0"/>
              <w:widowControl w:val="0"/>
              <w:kinsoku/>
              <w:wordWrap/>
              <w:overflowPunct/>
              <w:topLinePunct w:val="0"/>
              <w:autoSpaceDE/>
              <w:autoSpaceDN/>
              <w:bidi w:val="0"/>
              <w:adjustRightInd/>
              <w:snapToGrid/>
              <w:spacing w:line="382" w:lineRule="auto"/>
              <w:ind w:left="0" w:right="0" w:firstLine="0"/>
              <w:jc w:val="center"/>
              <w:textAlignment w:val="auto"/>
              <w:rPr>
                <w:rFonts w:hint="eastAsia" w:ascii="宋体" w:hAnsi="宋体" w:eastAsia="宋体" w:cs="宋体"/>
                <w:sz w:val="21"/>
                <w:szCs w:val="21"/>
              </w:rPr>
            </w:pPr>
          </w:p>
          <w:p w14:paraId="007158B2">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pacing w:val="-13"/>
                <w:sz w:val="21"/>
                <w:szCs w:val="21"/>
                <w:lang w:val="en-US" w:eastAsia="zh-CN"/>
              </w:rPr>
            </w:pPr>
            <w:r>
              <w:rPr>
                <w:rFonts w:hint="eastAsia" w:ascii="宋体" w:hAnsi="宋体" w:eastAsia="宋体" w:cs="宋体"/>
                <w:spacing w:val="-13"/>
                <w:sz w:val="21"/>
                <w:szCs w:val="21"/>
              </w:rPr>
              <w:t>19</w:t>
            </w:r>
          </w:p>
        </w:tc>
        <w:tc>
          <w:tcPr>
            <w:tcW w:w="704" w:type="pct"/>
            <w:vAlign w:val="center"/>
          </w:tcPr>
          <w:p w14:paraId="7489115F">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储存卡 SD卡</w:t>
            </w:r>
          </w:p>
        </w:tc>
        <w:tc>
          <w:tcPr>
            <w:tcW w:w="3365" w:type="pct"/>
            <w:vAlign w:val="center"/>
          </w:tcPr>
          <w:p w14:paraId="6FDE6469">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容量≥256GB；U3 V30等级；读取速度≥250MB/s；写入速度≥</w:t>
            </w:r>
            <w:r>
              <w:rPr>
                <w:rFonts w:hint="eastAsia" w:ascii="宋体" w:hAnsi="宋体" w:eastAsia="宋体" w:cs="宋体"/>
                <w:spacing w:val="3"/>
                <w:sz w:val="21"/>
                <w:szCs w:val="21"/>
              </w:rPr>
              <w:t xml:space="preserve"> </w:t>
            </w:r>
            <w:r>
              <w:rPr>
                <w:rFonts w:hint="eastAsia" w:ascii="宋体" w:hAnsi="宋体" w:eastAsia="宋体" w:cs="宋体"/>
                <w:sz w:val="21"/>
                <w:szCs w:val="21"/>
              </w:rPr>
              <w:t>170MB/s；适配专业相机、摄像机；支</w:t>
            </w:r>
            <w:r>
              <w:rPr>
                <w:rFonts w:hint="eastAsia" w:ascii="宋体" w:hAnsi="宋体" w:eastAsia="宋体" w:cs="宋体"/>
                <w:spacing w:val="-1"/>
                <w:sz w:val="21"/>
                <w:szCs w:val="21"/>
              </w:rPr>
              <w:t>持4K高清视频录制</w:t>
            </w:r>
          </w:p>
        </w:tc>
        <w:tc>
          <w:tcPr>
            <w:tcW w:w="604" w:type="pct"/>
            <w:vAlign w:val="center"/>
          </w:tcPr>
          <w:p w14:paraId="02080C23">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r>
      <w:tr w14:paraId="34972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90" w:hRule="atLeast"/>
        </w:trPr>
        <w:tc>
          <w:tcPr>
            <w:tcW w:w="325" w:type="pct"/>
            <w:vAlign w:val="center"/>
          </w:tcPr>
          <w:p w14:paraId="403CC245">
            <w:pPr>
              <w:keepNext w:val="0"/>
              <w:keepLines w:val="0"/>
              <w:pageBreakBefore w:val="0"/>
              <w:widowControl w:val="0"/>
              <w:kinsoku/>
              <w:wordWrap/>
              <w:overflowPunct/>
              <w:topLinePunct w:val="0"/>
              <w:autoSpaceDE/>
              <w:autoSpaceDN/>
              <w:bidi w:val="0"/>
              <w:adjustRightInd/>
              <w:snapToGrid/>
              <w:spacing w:line="293" w:lineRule="auto"/>
              <w:ind w:left="0" w:right="0" w:firstLine="0"/>
              <w:jc w:val="center"/>
              <w:textAlignment w:val="auto"/>
              <w:rPr>
                <w:rFonts w:hint="eastAsia" w:ascii="宋体" w:hAnsi="宋体" w:eastAsia="宋体" w:cs="宋体"/>
                <w:sz w:val="21"/>
                <w:szCs w:val="21"/>
              </w:rPr>
            </w:pPr>
          </w:p>
          <w:p w14:paraId="777C5A96">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6"/>
                <w:sz w:val="21"/>
                <w:szCs w:val="21"/>
              </w:rPr>
              <w:t>20</w:t>
            </w:r>
          </w:p>
        </w:tc>
        <w:tc>
          <w:tcPr>
            <w:tcW w:w="704" w:type="pct"/>
            <w:vAlign w:val="center"/>
          </w:tcPr>
          <w:p w14:paraId="506BE431">
            <w:pPr>
              <w:pStyle w:val="20"/>
              <w:keepNext w:val="0"/>
              <w:keepLines w:val="0"/>
              <w:pageBreakBefore w:val="0"/>
              <w:widowControl w:val="0"/>
              <w:kinsoku/>
              <w:wordWrap/>
              <w:overflowPunct/>
              <w:topLinePunct w:val="0"/>
              <w:autoSpaceDE/>
              <w:autoSpaceDN/>
              <w:bidi w:val="0"/>
              <w:adjustRightInd/>
              <w:snapToGrid/>
              <w:spacing w:line="219" w:lineRule="auto"/>
              <w:ind w:left="0" w:leftChars="0" w:right="0" w:firstLine="0"/>
              <w:jc w:val="center"/>
              <w:textAlignment w:val="auto"/>
              <w:rPr>
                <w:rFonts w:hint="eastAsia" w:ascii="宋体" w:hAnsi="宋体" w:eastAsia="宋体" w:cs="宋体"/>
                <w:spacing w:val="-1"/>
                <w:sz w:val="21"/>
                <w:szCs w:val="21"/>
              </w:rPr>
            </w:pPr>
            <w:r>
              <w:rPr>
                <w:rFonts w:hint="eastAsia" w:ascii="宋体" w:hAnsi="宋体" w:eastAsia="宋体" w:cs="宋体"/>
                <w:spacing w:val="-1"/>
                <w:sz w:val="21"/>
                <w:szCs w:val="21"/>
              </w:rPr>
              <w:t>相机竖屏板</w:t>
            </w:r>
          </w:p>
        </w:tc>
        <w:tc>
          <w:tcPr>
            <w:tcW w:w="3365" w:type="pct"/>
            <w:vAlign w:val="center"/>
          </w:tcPr>
          <w:p w14:paraId="25635F8F">
            <w:pPr>
              <w:pStyle w:val="20"/>
              <w:keepNext w:val="0"/>
              <w:keepLines w:val="0"/>
              <w:pageBreakBefore w:val="0"/>
              <w:widowControl w:val="0"/>
              <w:kinsoku/>
              <w:wordWrap/>
              <w:overflowPunct/>
              <w:topLinePunct w:val="0"/>
              <w:autoSpaceDE/>
              <w:autoSpaceDN/>
              <w:bidi w:val="0"/>
              <w:adjustRightInd/>
              <w:snapToGrid/>
              <w:spacing w:line="229" w:lineRule="auto"/>
              <w:ind w:left="210" w:leftChars="100" w:right="210" w:rightChars="100" w:firstLine="0" w:firstLineChars="0"/>
              <w:jc w:val="left"/>
              <w:textAlignment w:val="auto"/>
              <w:rPr>
                <w:rFonts w:hint="eastAsia" w:ascii="宋体" w:hAnsi="宋体" w:eastAsia="宋体" w:cs="宋体"/>
                <w:sz w:val="21"/>
                <w:szCs w:val="21"/>
              </w:rPr>
            </w:pPr>
            <w:r>
              <w:rPr>
                <w:rFonts w:hint="eastAsia" w:ascii="宋体" w:hAnsi="宋体" w:eastAsia="宋体" w:cs="宋体"/>
                <w:sz w:val="21"/>
                <w:szCs w:val="21"/>
              </w:rPr>
              <w:t>通用型设计；适配全画幅微单相机；铝合金材质；带冷靴接口</w:t>
            </w:r>
            <w:r>
              <w:rPr>
                <w:rFonts w:hint="eastAsia" w:ascii="宋体" w:hAnsi="宋体" w:eastAsia="宋体" w:cs="宋体"/>
                <w:spacing w:val="8"/>
                <w:sz w:val="21"/>
                <w:szCs w:val="21"/>
              </w:rPr>
              <w:t xml:space="preserve">  </w:t>
            </w:r>
            <w:r>
              <w:rPr>
                <w:rFonts w:hint="eastAsia" w:ascii="宋体" w:hAnsi="宋体" w:eastAsia="宋体" w:cs="宋体"/>
                <w:sz w:val="21"/>
                <w:szCs w:val="21"/>
              </w:rPr>
              <w:t>、1/4英寸安装孔；支持竖拍、横拍快速切换；最大承重≥10</w:t>
            </w:r>
            <w:r>
              <w:rPr>
                <w:rFonts w:hint="eastAsia" w:ascii="宋体" w:hAnsi="宋体" w:eastAsia="宋体" w:cs="宋体"/>
                <w:spacing w:val="-1"/>
                <w:sz w:val="21"/>
                <w:szCs w:val="21"/>
              </w:rPr>
              <w:t>KG</w:t>
            </w:r>
          </w:p>
        </w:tc>
        <w:tc>
          <w:tcPr>
            <w:tcW w:w="604" w:type="pct"/>
            <w:vAlign w:val="center"/>
          </w:tcPr>
          <w:p w14:paraId="755B785E">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14:paraId="7ECDD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99" w:hRule="atLeast"/>
        </w:trPr>
        <w:tc>
          <w:tcPr>
            <w:tcW w:w="325" w:type="pct"/>
            <w:vAlign w:val="center"/>
          </w:tcPr>
          <w:p w14:paraId="6C8D59C5">
            <w:pPr>
              <w:keepNext w:val="0"/>
              <w:keepLines w:val="0"/>
              <w:pageBreakBefore w:val="0"/>
              <w:widowControl w:val="0"/>
              <w:kinsoku/>
              <w:wordWrap/>
              <w:overflowPunct/>
              <w:topLinePunct w:val="0"/>
              <w:autoSpaceDE/>
              <w:autoSpaceDN/>
              <w:bidi w:val="0"/>
              <w:adjustRightInd/>
              <w:snapToGrid/>
              <w:spacing w:line="248" w:lineRule="auto"/>
              <w:ind w:left="0" w:right="0" w:firstLine="0"/>
              <w:jc w:val="center"/>
              <w:textAlignment w:val="auto"/>
              <w:rPr>
                <w:rFonts w:hint="eastAsia" w:ascii="宋体" w:hAnsi="宋体" w:eastAsia="宋体" w:cs="宋体"/>
                <w:sz w:val="21"/>
                <w:szCs w:val="21"/>
              </w:rPr>
            </w:pPr>
          </w:p>
          <w:p w14:paraId="4E174566">
            <w:pPr>
              <w:keepNext w:val="0"/>
              <w:keepLines w:val="0"/>
              <w:pageBreakBefore w:val="0"/>
              <w:widowControl w:val="0"/>
              <w:kinsoku/>
              <w:wordWrap/>
              <w:overflowPunct/>
              <w:topLinePunct w:val="0"/>
              <w:autoSpaceDE/>
              <w:autoSpaceDN/>
              <w:bidi w:val="0"/>
              <w:adjustRightInd/>
              <w:snapToGrid/>
              <w:spacing w:line="248" w:lineRule="auto"/>
              <w:ind w:left="0" w:right="0" w:firstLine="0"/>
              <w:jc w:val="center"/>
              <w:textAlignment w:val="auto"/>
              <w:rPr>
                <w:rFonts w:hint="eastAsia" w:ascii="宋体" w:hAnsi="宋体" w:eastAsia="宋体" w:cs="宋体"/>
                <w:sz w:val="21"/>
                <w:szCs w:val="21"/>
              </w:rPr>
            </w:pPr>
          </w:p>
          <w:p w14:paraId="73ED0A07">
            <w:pPr>
              <w:pStyle w:val="20"/>
              <w:keepNext w:val="0"/>
              <w:keepLines w:val="0"/>
              <w:pageBreakBefore w:val="0"/>
              <w:widowControl w:val="0"/>
              <w:kinsoku/>
              <w:wordWrap/>
              <w:overflowPunct/>
              <w:topLinePunct w:val="0"/>
              <w:autoSpaceDE/>
              <w:autoSpaceDN/>
              <w:bidi w:val="0"/>
              <w:adjustRightInd/>
              <w:snapToGrid/>
              <w:spacing w:line="241" w:lineRule="auto"/>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pacing w:val="-6"/>
                <w:sz w:val="21"/>
                <w:szCs w:val="21"/>
              </w:rPr>
              <w:t>21</w:t>
            </w:r>
          </w:p>
        </w:tc>
        <w:tc>
          <w:tcPr>
            <w:tcW w:w="704" w:type="pct"/>
            <w:vAlign w:val="center"/>
          </w:tcPr>
          <w:p w14:paraId="2F7A7288">
            <w:pPr>
              <w:pStyle w:val="20"/>
              <w:keepNext w:val="0"/>
              <w:keepLines w:val="0"/>
              <w:pageBreakBefore w:val="0"/>
              <w:widowControl w:val="0"/>
              <w:kinsoku/>
              <w:wordWrap/>
              <w:overflowPunct/>
              <w:topLinePunct w:val="0"/>
              <w:autoSpaceDE/>
              <w:autoSpaceDN/>
              <w:bidi w:val="0"/>
              <w:adjustRightInd/>
              <w:snapToGrid/>
              <w:spacing w:line="231" w:lineRule="auto"/>
              <w:ind w:left="0" w:leftChars="0" w:right="0" w:rightChars="0" w:firstLine="0" w:firstLineChars="0"/>
              <w:jc w:val="center"/>
              <w:textAlignment w:val="auto"/>
              <w:rPr>
                <w:rFonts w:hint="eastAsia" w:ascii="宋体" w:hAnsi="宋体" w:eastAsia="宋体" w:cs="宋体"/>
                <w:spacing w:val="-1"/>
                <w:sz w:val="21"/>
                <w:szCs w:val="21"/>
              </w:rPr>
            </w:pPr>
            <w:r>
              <w:rPr>
                <w:rFonts w:hint="eastAsia" w:ascii="宋体" w:hAnsi="宋体" w:eastAsia="宋体" w:cs="宋体"/>
                <w:spacing w:val="-2"/>
                <w:sz w:val="21"/>
                <w:szCs w:val="21"/>
              </w:rPr>
              <w:t>头戴导播通话系统延长线</w:t>
            </w:r>
          </w:p>
        </w:tc>
        <w:tc>
          <w:tcPr>
            <w:tcW w:w="3365" w:type="pct"/>
            <w:vAlign w:val="center"/>
          </w:tcPr>
          <w:p w14:paraId="1A2DFA4B">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3.5mm插头接口；单边导线设计；入耳式佩戴；支持麦克风通</w:t>
            </w:r>
          </w:p>
          <w:p w14:paraId="3CFA9BF2">
            <w:pPr>
              <w:pStyle w:val="20"/>
              <w:keepNext w:val="0"/>
              <w:keepLines w:val="0"/>
              <w:pageBreakBefore w:val="0"/>
              <w:widowControl w:val="0"/>
              <w:kinsoku/>
              <w:wordWrap/>
              <w:overflowPunct/>
              <w:topLinePunct w:val="0"/>
              <w:autoSpaceDE/>
              <w:autoSpaceDN/>
              <w:bidi w:val="0"/>
              <w:adjustRightInd/>
              <w:snapToGrid/>
              <w:spacing w:line="219"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话；适配导播通话系统、直播监听场景</w:t>
            </w:r>
          </w:p>
        </w:tc>
        <w:tc>
          <w:tcPr>
            <w:tcW w:w="604" w:type="pct"/>
            <w:vAlign w:val="center"/>
          </w:tcPr>
          <w:p w14:paraId="1A56CFB3">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rPr>
            </w:pPr>
            <w:r>
              <w:rPr>
                <w:rFonts w:hint="eastAsia" w:ascii="宋体" w:hAnsi="宋体" w:eastAsia="宋体" w:cs="宋体"/>
                <w:sz w:val="21"/>
                <w:szCs w:val="21"/>
              </w:rPr>
              <w:t>3</w:t>
            </w:r>
          </w:p>
        </w:tc>
      </w:tr>
      <w:tr w14:paraId="7A29C0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9" w:hRule="atLeast"/>
        </w:trPr>
        <w:tc>
          <w:tcPr>
            <w:tcW w:w="325" w:type="pct"/>
            <w:vAlign w:val="center"/>
          </w:tcPr>
          <w:p w14:paraId="06CE74AF">
            <w:pPr>
              <w:pStyle w:val="20"/>
              <w:keepNext w:val="0"/>
              <w:keepLines w:val="0"/>
              <w:pageBreakBefore w:val="0"/>
              <w:widowControl w:val="0"/>
              <w:kinsoku/>
              <w:wordWrap/>
              <w:overflowPunct/>
              <w:topLinePunct w:val="0"/>
              <w:autoSpaceDE/>
              <w:autoSpaceDN/>
              <w:bidi w:val="0"/>
              <w:adjustRightInd/>
              <w:snapToGrid/>
              <w:ind w:left="0" w:leftChars="0" w:right="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22</w:t>
            </w:r>
          </w:p>
        </w:tc>
        <w:tc>
          <w:tcPr>
            <w:tcW w:w="4069" w:type="pct"/>
            <w:gridSpan w:val="2"/>
            <w:vAlign w:val="center"/>
          </w:tcPr>
          <w:p w14:paraId="00AF273D">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现需供应商提供以下技术服务：</w:t>
            </w:r>
          </w:p>
          <w:p w14:paraId="131F351C">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1.完成全套直播配套设备现场调试作业，同步完成中医药文化宣传工作室内部各类线路的布设与连通测试，保障所有直播设备可正常接入中枢管理系统并稳定运行。</w:t>
            </w:r>
          </w:p>
          <w:p w14:paraId="3D978BB5">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left"/>
              <w:textAlignment w:val="auto"/>
              <w:rPr>
                <w:rFonts w:hint="eastAsia" w:ascii="宋体" w:hAnsi="宋体" w:eastAsia="宋体" w:cs="宋体"/>
                <w:sz w:val="21"/>
                <w:szCs w:val="21"/>
              </w:rPr>
            </w:pPr>
            <w:r>
              <w:rPr>
                <w:rFonts w:hint="eastAsia" w:ascii="宋体" w:hAnsi="宋体" w:eastAsia="宋体" w:cs="宋体"/>
                <w:sz w:val="21"/>
                <w:szCs w:val="21"/>
              </w:rPr>
              <w:t>2.规范梳理各类网线及连接线，搭建工作室、机房至</w:t>
            </w:r>
            <w:r>
              <w:rPr>
                <w:rFonts w:hint="eastAsia" w:ascii="宋体" w:hAnsi="宋体" w:eastAsia="宋体" w:cs="宋体"/>
                <w:sz w:val="21"/>
                <w:szCs w:val="21"/>
              </w:rPr>
              <w:t>医院终端的完整网络链路，确保网络配套设施运行安全、传输稳定</w:t>
            </w:r>
          </w:p>
        </w:tc>
        <w:tc>
          <w:tcPr>
            <w:tcW w:w="604" w:type="pct"/>
            <w:vAlign w:val="center"/>
          </w:tcPr>
          <w:p w14:paraId="3E5D5BE3">
            <w:pPr>
              <w:pStyle w:val="20"/>
              <w:keepNext w:val="0"/>
              <w:keepLines w:val="0"/>
              <w:pageBreakBefore w:val="0"/>
              <w:widowControl w:val="0"/>
              <w:kinsoku/>
              <w:wordWrap/>
              <w:overflowPunct/>
              <w:topLinePunct w:val="0"/>
              <w:autoSpaceDE/>
              <w:autoSpaceDN/>
              <w:bidi w:val="0"/>
              <w:adjustRightInd/>
              <w:snapToGrid/>
              <w:spacing w:line="241" w:lineRule="auto"/>
              <w:ind w:left="210" w:leftChars="100" w:right="210" w:rightChars="100" w:firstLine="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w:t>
            </w:r>
          </w:p>
        </w:tc>
      </w:tr>
    </w:tbl>
    <w:p w14:paraId="7B2B5F3A">
      <w:pPr>
        <w:pStyle w:val="7"/>
        <w:rPr>
          <w:rFonts w:hint="eastAsia" w:ascii="宋体" w:hAnsi="宋体" w:eastAsia="宋体" w:cs="宋体"/>
        </w:rPr>
      </w:pPr>
    </w:p>
    <w:p w14:paraId="3D9E31C7">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4"/>
          <w:highlight w:val="none"/>
        </w:rPr>
      </w:pPr>
      <w:bookmarkStart w:id="2" w:name="_Toc32384"/>
      <w:bookmarkStart w:id="3" w:name="_Toc482544238"/>
      <w:r>
        <w:rPr>
          <w:rFonts w:hint="eastAsia" w:ascii="宋体" w:hAnsi="宋体" w:eastAsia="宋体" w:cs="宋体"/>
          <w:color w:val="auto"/>
          <w:kern w:val="0"/>
          <w:sz w:val="28"/>
          <w:szCs w:val="24"/>
          <w:highlight w:val="none"/>
          <w:lang w:val="en-US" w:eastAsia="zh-CN"/>
        </w:rPr>
        <w:t>二、</w:t>
      </w:r>
      <w:r>
        <w:rPr>
          <w:rFonts w:hint="eastAsia" w:ascii="宋体" w:hAnsi="宋体" w:eastAsia="宋体" w:cs="宋体"/>
          <w:color w:val="auto"/>
          <w:kern w:val="0"/>
          <w:sz w:val="28"/>
          <w:szCs w:val="24"/>
          <w:highlight w:val="none"/>
        </w:rPr>
        <w:t>服务形式</w:t>
      </w:r>
      <w:r>
        <w:rPr>
          <w:rFonts w:hint="eastAsia" w:ascii="宋体" w:hAnsi="宋体" w:eastAsia="宋体" w:cs="宋体"/>
          <w:color w:val="auto"/>
          <w:kern w:val="0"/>
          <w:sz w:val="28"/>
          <w:szCs w:val="24"/>
          <w:highlight w:val="none"/>
          <w:lang w:val="en-US" w:eastAsia="zh-CN"/>
        </w:rPr>
        <w:t>及要求</w:t>
      </w:r>
      <w:r>
        <w:rPr>
          <w:rFonts w:hint="eastAsia" w:ascii="宋体" w:hAnsi="宋体" w:eastAsia="宋体" w:cs="宋体"/>
          <w:color w:val="auto"/>
          <w:kern w:val="0"/>
          <w:sz w:val="28"/>
          <w:szCs w:val="24"/>
          <w:highlight w:val="none"/>
        </w:rPr>
        <w:t>：</w:t>
      </w:r>
    </w:p>
    <w:p w14:paraId="331C5A77">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宋体" w:hAnsi="宋体" w:eastAsia="宋体" w:cs="宋体"/>
          <w:color w:val="auto"/>
          <w:kern w:val="0"/>
          <w:sz w:val="28"/>
          <w:szCs w:val="24"/>
          <w:highlight w:val="none"/>
          <w:lang w:val="en-US" w:eastAsia="zh-CN"/>
        </w:rPr>
      </w:pPr>
      <w:r>
        <w:rPr>
          <w:rFonts w:hint="eastAsia" w:ascii="宋体" w:hAnsi="宋体" w:eastAsia="宋体" w:cs="宋体"/>
          <w:color w:val="auto"/>
          <w:kern w:val="0"/>
          <w:sz w:val="28"/>
          <w:szCs w:val="24"/>
          <w:highlight w:val="none"/>
          <w:lang w:val="en-US" w:eastAsia="zh-CN"/>
        </w:rPr>
        <w:t>2.1服务要求</w:t>
      </w:r>
    </w:p>
    <w:p w14:paraId="12DF5DBB">
      <w:pPr>
        <w:keepNext w:val="0"/>
        <w:keepLines w:val="0"/>
        <w:pageBreakBefore w:val="0"/>
        <w:kinsoku/>
        <w:wordWrap/>
        <w:overflowPunct/>
        <w:topLinePunct w:val="0"/>
        <w:autoSpaceDE/>
        <w:autoSpaceDN/>
        <w:bidi w:val="0"/>
        <w:adjustRightInd/>
        <w:snapToGrid/>
        <w:spacing w:line="360" w:lineRule="auto"/>
        <w:rPr>
          <w:rFonts w:hint="eastAsia" w:ascii="宋体" w:hAnsi="宋体" w:eastAsia="宋体" w:cs="宋体"/>
          <w:color w:val="auto"/>
          <w:kern w:val="0"/>
          <w:sz w:val="28"/>
          <w:szCs w:val="24"/>
          <w:highlight w:val="none"/>
          <w:lang w:val="en-US" w:eastAsia="zh-CN"/>
        </w:rPr>
      </w:pPr>
      <w:r>
        <w:rPr>
          <w:rFonts w:hint="eastAsia" w:ascii="宋体" w:hAnsi="宋体" w:eastAsia="宋体" w:cs="宋体"/>
          <w:color w:val="auto"/>
          <w:kern w:val="0"/>
          <w:sz w:val="28"/>
          <w:szCs w:val="24"/>
          <w:highlight w:val="none"/>
          <w:lang w:val="en-US" w:eastAsia="zh-CN"/>
        </w:rPr>
        <w:t>（1）服务期内要求：供应商在双方协商规定的时间内解决院方设备出现的问题，并且保证的安全稳定运行。</w:t>
      </w:r>
      <w:r>
        <w:rPr>
          <w:rFonts w:hint="eastAsia" w:ascii="宋体" w:hAnsi="宋体" w:eastAsia="宋体" w:cs="宋体"/>
          <w:color w:val="auto"/>
          <w:kern w:val="0"/>
          <w:sz w:val="28"/>
          <w:szCs w:val="24"/>
          <w:highlight w:val="none"/>
          <w:lang w:val="en-US" w:eastAsia="zh-CN"/>
        </w:rPr>
        <w:br w:type="textWrapping"/>
      </w:r>
      <w:r>
        <w:rPr>
          <w:rFonts w:hint="eastAsia" w:ascii="宋体" w:hAnsi="宋体" w:eastAsia="宋体" w:cs="宋体"/>
          <w:color w:val="auto"/>
          <w:kern w:val="0"/>
          <w:sz w:val="28"/>
          <w:szCs w:val="24"/>
          <w:highlight w:val="none"/>
          <w:lang w:val="en-US" w:eastAsia="zh-CN"/>
        </w:rPr>
        <w:t>（2）人员服务：供应商提供服务人员至少1名，协调升级服务</w:t>
      </w:r>
      <w:r>
        <w:rPr>
          <w:rFonts w:hint="eastAsia" w:ascii="宋体" w:hAnsi="宋体" w:eastAsia="宋体" w:cs="宋体"/>
          <w:color w:val="auto"/>
          <w:kern w:val="0"/>
          <w:sz w:val="28"/>
          <w:szCs w:val="24"/>
          <w:highlight w:val="none"/>
          <w:lang w:eastAsia="zh-CN"/>
        </w:rPr>
        <w:t>系统</w:t>
      </w:r>
      <w:r>
        <w:rPr>
          <w:rFonts w:hint="eastAsia" w:ascii="宋体" w:hAnsi="宋体" w:eastAsia="宋体" w:cs="宋体"/>
          <w:color w:val="auto"/>
          <w:kern w:val="0"/>
          <w:sz w:val="28"/>
          <w:szCs w:val="24"/>
          <w:highlight w:val="none"/>
          <w:lang w:val="en-US" w:eastAsia="zh-CN"/>
        </w:rPr>
        <w:t>等配套系统和设备问题的相关事宜。</w:t>
      </w:r>
      <w:r>
        <w:rPr>
          <w:rFonts w:hint="eastAsia" w:ascii="宋体" w:hAnsi="宋体" w:eastAsia="宋体" w:cs="宋体"/>
          <w:color w:val="auto"/>
          <w:kern w:val="0"/>
          <w:sz w:val="28"/>
          <w:szCs w:val="24"/>
          <w:highlight w:val="none"/>
          <w:lang w:val="en-US" w:eastAsia="zh-CN"/>
        </w:rPr>
        <w:br w:type="textWrapping"/>
      </w:r>
      <w:r>
        <w:rPr>
          <w:rFonts w:hint="eastAsia" w:ascii="宋体" w:hAnsi="宋体" w:eastAsia="宋体" w:cs="宋体"/>
          <w:color w:val="auto"/>
          <w:kern w:val="0"/>
          <w:sz w:val="28"/>
          <w:szCs w:val="24"/>
          <w:highlight w:val="none"/>
          <w:lang w:val="en-US" w:eastAsia="zh-CN"/>
        </w:rPr>
        <w:t>（3）软件、硬件维护要求：供应商专业技术负责人负责与院方协调设备等配套系统和设备故障的相关事宜，发现问题及时处理；响应时间为：7天×24小时的电话响应与支持；当不在日常工作时间发现问题时，不能远程解决问题时供应商专业技术负责人应1小时内到现场解决。</w:t>
      </w:r>
      <w:r>
        <w:rPr>
          <w:rFonts w:hint="eastAsia" w:ascii="宋体" w:hAnsi="宋体" w:eastAsia="宋体" w:cs="宋体"/>
          <w:color w:val="auto"/>
          <w:kern w:val="0"/>
          <w:sz w:val="28"/>
          <w:szCs w:val="24"/>
          <w:highlight w:val="none"/>
          <w:lang w:val="en-US" w:eastAsia="zh-CN"/>
        </w:rPr>
        <w:br w:type="textWrapping"/>
      </w:r>
      <w:r>
        <w:rPr>
          <w:rFonts w:hint="eastAsia" w:ascii="宋体" w:hAnsi="宋体" w:eastAsia="宋体" w:cs="宋体"/>
          <w:color w:val="auto"/>
          <w:kern w:val="0"/>
          <w:sz w:val="28"/>
          <w:szCs w:val="24"/>
          <w:highlight w:val="none"/>
          <w:lang w:val="en-US" w:eastAsia="zh-CN"/>
        </w:rPr>
        <w:t>（4）紧急情况处理：遇到医院业务系统紧急情况，供应商服务人员未能及时处理，务必安排有经验的工程师协助院方紧急处理。</w:t>
      </w:r>
      <w:r>
        <w:rPr>
          <w:rFonts w:hint="eastAsia" w:ascii="宋体" w:hAnsi="宋体" w:eastAsia="宋体" w:cs="宋体"/>
          <w:color w:val="auto"/>
          <w:kern w:val="0"/>
          <w:sz w:val="28"/>
          <w:szCs w:val="24"/>
          <w:highlight w:val="none"/>
          <w:lang w:val="en-US" w:eastAsia="zh-CN"/>
        </w:rPr>
        <w:br w:type="textWrapping"/>
      </w:r>
      <w:r>
        <w:rPr>
          <w:rFonts w:hint="eastAsia" w:ascii="宋体" w:hAnsi="宋体" w:eastAsia="宋体" w:cs="宋体"/>
          <w:color w:val="auto"/>
          <w:kern w:val="0"/>
          <w:sz w:val="28"/>
          <w:szCs w:val="24"/>
          <w:highlight w:val="none"/>
          <w:lang w:val="en-US" w:eastAsia="zh-CN"/>
        </w:rPr>
        <w:t>（5）巡检服务：提供本系统每季度一次软件、硬件的巡检服务，进行保养性维护。提供的巡检服务内容包括本系统的性能检查、系统保养和日常维护等。</w:t>
      </w:r>
    </w:p>
    <w:bookmarkEnd w:id="2"/>
    <w:bookmarkEnd w:id="3"/>
    <w:p w14:paraId="37775E5C">
      <w:pPr>
        <w:rPr>
          <w:rFonts w:hint="eastAsia" w:ascii="宋体" w:hAnsi="宋体" w:eastAsia="宋体" w:cs="宋体"/>
          <w:color w:val="auto"/>
          <w:highlight w:val="none"/>
          <w:lang w:val="en-US" w:eastAsia="zh-CN"/>
        </w:rPr>
      </w:pPr>
    </w:p>
    <w:sectPr>
      <w:headerReference r:id="rId3" w:type="default"/>
      <w:footerReference r:id="rId4" w:type="default"/>
      <w:pgSz w:w="11906" w:h="16838"/>
      <w:pgMar w:top="850" w:right="850" w:bottom="850" w:left="850" w:header="851" w:footer="992" w:gutter="0"/>
      <w:pgBorders>
        <w:top w:val="none" w:sz="0" w:space="0"/>
        <w:left w:val="none" w:sz="0" w:space="0"/>
        <w:bottom w:val="none" w:sz="0" w:space="0"/>
        <w:right w:val="none" w:sz="0" w:space="0"/>
      </w:pgBorders>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17390">
    <w:pPr>
      <w:pStyle w:val="10"/>
      <w:jc w:val="center"/>
      <w:rPr>
        <w:rFonts w:ascii="宋体" w:hAnsi="宋体" w:eastAsia="宋体"/>
        <w:sz w:val="21"/>
        <w:szCs w:val="21"/>
      </w:rPr>
    </w:pPr>
    <w:r>
      <w:rPr>
        <w:rFonts w:ascii="宋体" w:hAnsi="宋体" w:eastAsia="宋体"/>
        <w:sz w:val="21"/>
        <w:szCs w:val="21"/>
        <w:lang w:val="zh-CN"/>
      </w:rPr>
      <w:fldChar w:fldCharType="begin"/>
    </w:r>
    <w:r>
      <w:rPr>
        <w:rFonts w:ascii="宋体" w:hAnsi="宋体" w:eastAsia="宋体"/>
        <w:sz w:val="21"/>
        <w:szCs w:val="21"/>
        <w:lang w:val="zh-CN"/>
      </w:rPr>
      <w:instrText xml:space="preserve"> PAGE   \* MERGEFORMAT </w:instrText>
    </w:r>
    <w:r>
      <w:rPr>
        <w:rFonts w:ascii="宋体" w:hAnsi="宋体" w:eastAsia="宋体"/>
        <w:sz w:val="21"/>
        <w:szCs w:val="21"/>
        <w:lang w:val="zh-CN"/>
      </w:rPr>
      <w:fldChar w:fldCharType="separate"/>
    </w:r>
    <w:r>
      <w:rPr>
        <w:rFonts w:ascii="宋体" w:hAnsi="宋体" w:eastAsia="宋体"/>
        <w:sz w:val="21"/>
        <w:szCs w:val="21"/>
        <w:lang w:val="zh-CN"/>
      </w:rPr>
      <w:t>1</w:t>
    </w:r>
    <w:r>
      <w:rPr>
        <w:rFonts w:ascii="宋体" w:hAnsi="宋体" w:eastAsia="宋体"/>
        <w:sz w:val="21"/>
        <w:szCs w:val="21"/>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14DAA">
    <w:pPr>
      <w:pStyle w:val="1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0945BE"/>
    <w:rsid w:val="016320EC"/>
    <w:rsid w:val="01C506B1"/>
    <w:rsid w:val="05D37841"/>
    <w:rsid w:val="068B693D"/>
    <w:rsid w:val="06B62CBE"/>
    <w:rsid w:val="08332819"/>
    <w:rsid w:val="0AE53B72"/>
    <w:rsid w:val="0B4419EF"/>
    <w:rsid w:val="0BA42068"/>
    <w:rsid w:val="0D85657B"/>
    <w:rsid w:val="0E750A47"/>
    <w:rsid w:val="0E9D6C3E"/>
    <w:rsid w:val="0F04011D"/>
    <w:rsid w:val="0FAB68FC"/>
    <w:rsid w:val="10583CE4"/>
    <w:rsid w:val="10D22406"/>
    <w:rsid w:val="1106656D"/>
    <w:rsid w:val="15BB17BE"/>
    <w:rsid w:val="18E70B31"/>
    <w:rsid w:val="19464B08"/>
    <w:rsid w:val="19F050D1"/>
    <w:rsid w:val="1B32291B"/>
    <w:rsid w:val="1C515415"/>
    <w:rsid w:val="1D0078EE"/>
    <w:rsid w:val="1D2800F7"/>
    <w:rsid w:val="1D3A1AFC"/>
    <w:rsid w:val="1DED3012"/>
    <w:rsid w:val="1E4A36CA"/>
    <w:rsid w:val="1F0E1492"/>
    <w:rsid w:val="280B1074"/>
    <w:rsid w:val="2829733C"/>
    <w:rsid w:val="2C295C80"/>
    <w:rsid w:val="2C495ADA"/>
    <w:rsid w:val="2DBE0968"/>
    <w:rsid w:val="2E0B52AE"/>
    <w:rsid w:val="304A6A36"/>
    <w:rsid w:val="30FD6671"/>
    <w:rsid w:val="31830F94"/>
    <w:rsid w:val="31A46A9F"/>
    <w:rsid w:val="34022802"/>
    <w:rsid w:val="34BF2BBB"/>
    <w:rsid w:val="34EE16F2"/>
    <w:rsid w:val="370945BE"/>
    <w:rsid w:val="376E439C"/>
    <w:rsid w:val="39795D7C"/>
    <w:rsid w:val="3DE03852"/>
    <w:rsid w:val="40132928"/>
    <w:rsid w:val="47EC1AC1"/>
    <w:rsid w:val="48BA1BBF"/>
    <w:rsid w:val="4BBD5522"/>
    <w:rsid w:val="4D170EF4"/>
    <w:rsid w:val="4D2717ED"/>
    <w:rsid w:val="4F1E1B73"/>
    <w:rsid w:val="4F91794F"/>
    <w:rsid w:val="50591CBD"/>
    <w:rsid w:val="5316015D"/>
    <w:rsid w:val="557D644E"/>
    <w:rsid w:val="56660C90"/>
    <w:rsid w:val="56C068F3"/>
    <w:rsid w:val="57BF4B4F"/>
    <w:rsid w:val="58DC348C"/>
    <w:rsid w:val="591B2EF6"/>
    <w:rsid w:val="5B804B1C"/>
    <w:rsid w:val="5B977B3E"/>
    <w:rsid w:val="5CE9261B"/>
    <w:rsid w:val="5D77646A"/>
    <w:rsid w:val="5ED42BA2"/>
    <w:rsid w:val="5F2B0CC9"/>
    <w:rsid w:val="5F9A5E4E"/>
    <w:rsid w:val="5FAB2300"/>
    <w:rsid w:val="61243C22"/>
    <w:rsid w:val="62F12662"/>
    <w:rsid w:val="664B7EA3"/>
    <w:rsid w:val="670D609A"/>
    <w:rsid w:val="67FC223D"/>
    <w:rsid w:val="69E161EB"/>
    <w:rsid w:val="6AEB2168"/>
    <w:rsid w:val="6CF74973"/>
    <w:rsid w:val="6ECD68D4"/>
    <w:rsid w:val="6EF2710D"/>
    <w:rsid w:val="7047792D"/>
    <w:rsid w:val="70891CF3"/>
    <w:rsid w:val="714B51FB"/>
    <w:rsid w:val="75BD75D6"/>
    <w:rsid w:val="76F46DD4"/>
    <w:rsid w:val="780E0011"/>
    <w:rsid w:val="78542BE7"/>
    <w:rsid w:val="7C4A0600"/>
    <w:rsid w:val="7DFBFF04"/>
    <w:rsid w:val="7F4C4618"/>
    <w:rsid w:val="EFAF28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Body Text"/>
    <w:basedOn w:val="1"/>
    <w:next w:val="1"/>
    <w:qFormat/>
    <w:uiPriority w:val="0"/>
    <w:pPr>
      <w:spacing w:after="120"/>
    </w:pPr>
    <w:rPr>
      <w:szCs w:val="24"/>
    </w:rPr>
  </w:style>
  <w:style w:type="paragraph" w:styleId="8">
    <w:name w:val="Body Text Indent"/>
    <w:basedOn w:val="1"/>
    <w:next w:val="9"/>
    <w:qFormat/>
    <w:uiPriority w:val="0"/>
    <w:pPr>
      <w:ind w:firstLine="830" w:firstLineChars="352"/>
    </w:pPr>
    <w:rPr>
      <w:rFonts w:ascii="仿宋_GB2312" w:eastAsia="仿宋_GB2312"/>
      <w:sz w:val="32"/>
      <w:szCs w:val="20"/>
    </w:rPr>
  </w:style>
  <w:style w:type="paragraph" w:styleId="9">
    <w:name w:val="envelope return"/>
    <w:basedOn w:val="1"/>
    <w:qFormat/>
    <w:uiPriority w:val="0"/>
    <w:pPr>
      <w:snapToGrid w:val="0"/>
    </w:pPr>
    <w:rPr>
      <w:rFonts w:ascii="Arial" w:hAnsi="Arial"/>
    </w:rPr>
  </w:style>
  <w:style w:type="paragraph" w:styleId="10">
    <w:name w:val="footer"/>
    <w:basedOn w:val="1"/>
    <w:unhideWhenUsed/>
    <w:qFormat/>
    <w:uiPriority w:val="99"/>
    <w:pPr>
      <w:tabs>
        <w:tab w:val="center" w:pos="4153"/>
        <w:tab w:val="right" w:pos="8306"/>
      </w:tabs>
      <w:snapToGrid w:val="0"/>
      <w:jc w:val="left"/>
    </w:pPr>
    <w:rPr>
      <w:sz w:val="18"/>
      <w:szCs w:val="18"/>
    </w:rPr>
  </w:style>
  <w:style w:type="paragraph" w:styleId="11">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szCs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page number"/>
    <w:basedOn w:val="15"/>
    <w:qFormat/>
    <w:uiPriority w:val="0"/>
  </w:style>
  <w:style w:type="paragraph" w:styleId="18">
    <w:name w:val="List Paragraph"/>
    <w:basedOn w:val="1"/>
    <w:qFormat/>
    <w:uiPriority w:val="34"/>
    <w:pPr>
      <w:ind w:firstLine="420" w:firstLineChars="200"/>
    </w:p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 w:type="character" w:customStyle="1" w:styleId="21">
    <w:name w:val="font21"/>
    <w:basedOn w:val="15"/>
    <w:qFormat/>
    <w:uiPriority w:val="0"/>
    <w:rPr>
      <w:rFonts w:hint="eastAsia" w:ascii="宋体" w:hAnsi="宋体" w:eastAsia="宋体" w:cs="宋体"/>
      <w:color w:val="262626"/>
      <w:sz w:val="18"/>
      <w:szCs w:val="18"/>
      <w:u w:val="none"/>
    </w:rPr>
  </w:style>
  <w:style w:type="character" w:customStyle="1" w:styleId="22">
    <w:name w:val="font11"/>
    <w:basedOn w:val="15"/>
    <w:qFormat/>
    <w:uiPriority w:val="0"/>
    <w:rPr>
      <w:rFonts w:hint="eastAsia" w:ascii="宋体" w:hAnsi="宋体" w:eastAsia="宋体" w:cs="宋体"/>
      <w:color w:val="262626"/>
      <w:sz w:val="18"/>
      <w:szCs w:val="18"/>
      <w:u w:val="none"/>
    </w:rPr>
  </w:style>
  <w:style w:type="character" w:customStyle="1" w:styleId="23">
    <w:name w:val="font31"/>
    <w:basedOn w:val="15"/>
    <w:qFormat/>
    <w:uiPriority w:val="0"/>
    <w:rPr>
      <w:rFonts w:hint="eastAsia" w:ascii="宋体" w:hAnsi="宋体" w:eastAsia="宋体" w:cs="宋体"/>
      <w:color w:val="0F1115"/>
      <w:sz w:val="22"/>
      <w:szCs w:val="22"/>
      <w:u w:val="none"/>
    </w:rPr>
  </w:style>
  <w:style w:type="character" w:customStyle="1" w:styleId="24">
    <w:name w:val="font41"/>
    <w:basedOn w:val="1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2518</Words>
  <Characters>3021</Characters>
  <Lines>0</Lines>
  <Paragraphs>0</Paragraphs>
  <TotalTime>5</TotalTime>
  <ScaleCrop>false</ScaleCrop>
  <LinksUpToDate>false</LinksUpToDate>
  <CharactersWithSpaces>3121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2025-05-07T00:48:00Z</dcterms:created>
  <dc:creator>滴滴</dc:creator>
  <cp:lastModifiedBy>涛记</cp:lastModifiedBy>
  <cp:lastPrinted>2025-08-27T18:11:00Z</cp:lastPrinted>
  <dcterms:modified xsi:type="dcterms:W3CDTF">2026-08-04T07:15:46Z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B86B8752F70EB8A5A6C74B6AD4D8E191_43</vt:lpwstr>
  </property>
  <property fmtid="{D5CDD505-2E9C-101B-9397-08002B2CF9AE}" pid="4" name="KSOTemplateDocerSaveRecord">
    <vt:lpwstr>eyJoZGlkIjoiNzUwZjVmMWFhNjNjMTY2MDAxMzI3MjIwYjAwMDliZmYiLCJ1c2VySWQiOiIyOTE5Nzk0ODEifQ==</vt:lpwstr>
  </property>
</Properties>
</file>